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F2525" w14:textId="77777777" w:rsidR="00BF5624" w:rsidRDefault="00BF5624" w:rsidP="00533BA8">
      <w:pPr>
        <w:widowControl w:val="0"/>
        <w:autoSpaceDE w:val="0"/>
        <w:autoSpaceDN w:val="0"/>
        <w:adjustRightInd w:val="0"/>
        <w:spacing w:after="120" w:line="276" w:lineRule="auto"/>
        <w:jc w:val="center"/>
        <w:rPr>
          <w:rFonts w:ascii="Times New Roman" w:hAnsi="Times New Roman"/>
          <w:b/>
          <w:bCs/>
          <w:color w:val="000000"/>
          <w:sz w:val="28"/>
          <w:szCs w:val="20"/>
        </w:rPr>
      </w:pPr>
      <w:r w:rsidRPr="00BF5624">
        <w:rPr>
          <w:rFonts w:ascii="Times New Roman" w:hAnsi="Times New Roman"/>
          <w:b/>
          <w:bCs/>
          <w:color w:val="000000"/>
          <w:sz w:val="28"/>
          <w:szCs w:val="20"/>
        </w:rPr>
        <w:t xml:space="preserve">Challenges </w:t>
      </w:r>
      <w:r w:rsidR="00736A8E">
        <w:rPr>
          <w:rFonts w:ascii="Times New Roman" w:hAnsi="Times New Roman"/>
          <w:b/>
          <w:bCs/>
          <w:color w:val="000000"/>
          <w:sz w:val="28"/>
          <w:szCs w:val="20"/>
        </w:rPr>
        <w:t>faced during</w:t>
      </w:r>
      <w:r w:rsidR="00736A8E" w:rsidRPr="00BF5624">
        <w:rPr>
          <w:rFonts w:ascii="Times New Roman" w:hAnsi="Times New Roman"/>
          <w:b/>
          <w:bCs/>
          <w:color w:val="000000"/>
          <w:sz w:val="28"/>
          <w:szCs w:val="20"/>
        </w:rPr>
        <w:t xml:space="preserve"> manufacturing long cylindrical level probe pockets for sodium technology applications</w:t>
      </w:r>
    </w:p>
    <w:p w14:paraId="6E40ACEB" w14:textId="77777777" w:rsidR="00533BA8" w:rsidRPr="00736A8E" w:rsidRDefault="00533BA8" w:rsidP="00533BA8">
      <w:pPr>
        <w:jc w:val="center"/>
        <w:rPr>
          <w:rFonts w:ascii="Times New Roman" w:hAnsi="Times New Roman"/>
          <w:iCs/>
          <w:sz w:val="24"/>
          <w:szCs w:val="24"/>
        </w:rPr>
      </w:pPr>
      <w:r w:rsidRPr="00736A8E">
        <w:rPr>
          <w:rFonts w:ascii="Times New Roman" w:hAnsi="Times New Roman"/>
          <w:iCs/>
          <w:sz w:val="24"/>
          <w:szCs w:val="24"/>
        </w:rPr>
        <w:t xml:space="preserve">T. V. Maran*, </w:t>
      </w:r>
      <w:r w:rsidR="008656FD" w:rsidRPr="00736A8E">
        <w:rPr>
          <w:rFonts w:ascii="Times New Roman" w:hAnsi="Times New Roman"/>
          <w:iCs/>
          <w:sz w:val="24"/>
          <w:szCs w:val="24"/>
        </w:rPr>
        <w:t>Vibhav Prajapati, A. Clement,</w:t>
      </w:r>
      <w:r w:rsidR="00C1559F">
        <w:rPr>
          <w:rFonts w:ascii="Times New Roman" w:hAnsi="Times New Roman"/>
          <w:iCs/>
          <w:sz w:val="24"/>
          <w:szCs w:val="24"/>
        </w:rPr>
        <w:t xml:space="preserve"> Prem J.,</w:t>
      </w:r>
      <w:r w:rsidR="0053650E">
        <w:rPr>
          <w:rFonts w:ascii="Times New Roman" w:hAnsi="Times New Roman"/>
          <w:iCs/>
          <w:sz w:val="24"/>
          <w:szCs w:val="24"/>
        </w:rPr>
        <w:t xml:space="preserve"> </w:t>
      </w:r>
      <w:r w:rsidR="007C0F5C" w:rsidRPr="007C0F5C">
        <w:rPr>
          <w:rFonts w:ascii="Times New Roman" w:hAnsi="Times New Roman"/>
          <w:iCs/>
          <w:sz w:val="24"/>
          <w:szCs w:val="24"/>
        </w:rPr>
        <w:t>Rakesh Kumar Mourya</w:t>
      </w:r>
      <w:r w:rsidR="00DA4449">
        <w:rPr>
          <w:rFonts w:ascii="Times New Roman" w:hAnsi="Times New Roman"/>
          <w:iCs/>
          <w:sz w:val="24"/>
          <w:szCs w:val="24"/>
        </w:rPr>
        <w:t xml:space="preserve">, </w:t>
      </w:r>
      <w:r w:rsidR="008656FD" w:rsidRPr="00736A8E">
        <w:rPr>
          <w:rFonts w:ascii="Times New Roman" w:hAnsi="Times New Roman"/>
          <w:iCs/>
          <w:sz w:val="24"/>
          <w:szCs w:val="24"/>
        </w:rPr>
        <w:t>V. Vinod</w:t>
      </w:r>
    </w:p>
    <w:p w14:paraId="4236A137" w14:textId="77777777" w:rsidR="00533BA8" w:rsidRPr="00153598" w:rsidRDefault="00533BA8" w:rsidP="00533BA8">
      <w:pPr>
        <w:spacing w:line="240" w:lineRule="auto"/>
        <w:jc w:val="center"/>
        <w:rPr>
          <w:rFonts w:ascii="Times New Roman" w:hAnsi="Times New Roman"/>
          <w:i/>
          <w:iCs/>
        </w:rPr>
      </w:pPr>
      <w:r w:rsidRPr="00153598">
        <w:rPr>
          <w:rFonts w:ascii="Times New Roman" w:hAnsi="Times New Roman"/>
          <w:i/>
          <w:iCs/>
        </w:rPr>
        <w:t>Fast Reactor Technology Group</w:t>
      </w:r>
      <w:r>
        <w:rPr>
          <w:rFonts w:ascii="Times New Roman" w:hAnsi="Times New Roman"/>
          <w:i/>
          <w:iCs/>
        </w:rPr>
        <w:t xml:space="preserve">, </w:t>
      </w:r>
      <w:r w:rsidRPr="00153598">
        <w:rPr>
          <w:rFonts w:ascii="Times New Roman" w:hAnsi="Times New Roman"/>
          <w:i/>
          <w:iCs/>
        </w:rPr>
        <w:t>Indira Gandhi Centre for Atomic Research,</w:t>
      </w:r>
    </w:p>
    <w:p w14:paraId="44D39FE9" w14:textId="77777777" w:rsidR="00533BA8" w:rsidRPr="008656FD" w:rsidRDefault="00533BA8" w:rsidP="00533BA8">
      <w:pPr>
        <w:spacing w:line="240" w:lineRule="auto"/>
        <w:jc w:val="center"/>
        <w:rPr>
          <w:rFonts w:ascii="Times New Roman" w:hAnsi="Times New Roman"/>
          <w:i/>
          <w:iCs/>
          <w:lang w:val="pt-BR"/>
        </w:rPr>
      </w:pPr>
      <w:r w:rsidRPr="008656FD">
        <w:rPr>
          <w:rFonts w:ascii="Times New Roman" w:hAnsi="Times New Roman"/>
          <w:i/>
          <w:iCs/>
          <w:lang w:val="pt-BR"/>
        </w:rPr>
        <w:t>Kalpakkam, Tamil Nadu - 603102, India</w:t>
      </w:r>
    </w:p>
    <w:p w14:paraId="05AA7AD3" w14:textId="77777777" w:rsidR="00533BA8" w:rsidRPr="008656FD" w:rsidRDefault="00533BA8" w:rsidP="00533BA8">
      <w:pPr>
        <w:jc w:val="center"/>
        <w:rPr>
          <w:rFonts w:ascii="Times New Roman" w:hAnsi="Times New Roman"/>
          <w:iCs/>
          <w:sz w:val="20"/>
          <w:szCs w:val="20"/>
          <w:lang w:val="pt-BR"/>
        </w:rPr>
      </w:pPr>
      <w:r w:rsidRPr="008656FD">
        <w:rPr>
          <w:rFonts w:ascii="Times New Roman" w:hAnsi="Times New Roman"/>
          <w:iCs/>
          <w:sz w:val="20"/>
          <w:szCs w:val="20"/>
          <w:lang w:val="pt-BR"/>
        </w:rPr>
        <w:t xml:space="preserve">*Author E-mail: </w:t>
      </w:r>
      <w:r>
        <w:fldChar w:fldCharType="begin"/>
      </w:r>
      <w:r w:rsidRPr="00736A8E">
        <w:rPr>
          <w:lang w:val="pt-BR"/>
        </w:rPr>
        <w:instrText>HYPERLINK "mailto:mourya@igcar.gov.in"</w:instrText>
      </w:r>
      <w:r>
        <w:fldChar w:fldCharType="separate"/>
      </w:r>
      <w:r w:rsidRPr="008656FD">
        <w:rPr>
          <w:rStyle w:val="Hyperlink"/>
          <w:rFonts w:ascii="Times New Roman" w:hAnsi="Times New Roman"/>
          <w:bCs/>
          <w:sz w:val="20"/>
          <w:szCs w:val="20"/>
          <w:lang w:val="pt-BR"/>
        </w:rPr>
        <w:t>mars@igcar.gov.in</w:t>
      </w:r>
      <w:r>
        <w:fldChar w:fldCharType="end"/>
      </w:r>
      <w:r w:rsidRPr="008656FD">
        <w:rPr>
          <w:rFonts w:ascii="Times New Roman" w:hAnsi="Times New Roman"/>
          <w:bCs/>
          <w:color w:val="000000"/>
          <w:sz w:val="20"/>
          <w:szCs w:val="20"/>
          <w:lang w:val="pt-BR"/>
        </w:rPr>
        <w:t xml:space="preserve"> </w:t>
      </w:r>
    </w:p>
    <w:p w14:paraId="7836A792" w14:textId="77777777" w:rsidR="00533BA8" w:rsidRPr="00DA4449" w:rsidRDefault="00533BA8" w:rsidP="00533BA8">
      <w:pPr>
        <w:widowControl w:val="0"/>
        <w:autoSpaceDE w:val="0"/>
        <w:autoSpaceDN w:val="0"/>
        <w:adjustRightInd w:val="0"/>
        <w:spacing w:after="0" w:line="239" w:lineRule="auto"/>
        <w:ind w:left="400"/>
        <w:jc w:val="center"/>
        <w:rPr>
          <w:rFonts w:ascii="Times New Roman" w:hAnsi="Times New Roman"/>
          <w:b/>
          <w:bCs/>
          <w:color w:val="000000"/>
          <w:szCs w:val="20"/>
          <w:lang w:val="pt-BR"/>
        </w:rPr>
      </w:pPr>
      <w:r w:rsidRPr="00DA4449">
        <w:rPr>
          <w:rFonts w:ascii="Times New Roman" w:hAnsi="Times New Roman"/>
          <w:b/>
          <w:bCs/>
          <w:color w:val="000000"/>
          <w:sz w:val="24"/>
          <w:u w:val="single"/>
          <w:lang w:val="pt-BR"/>
        </w:rPr>
        <w:t>ABSTRACT</w:t>
      </w:r>
    </w:p>
    <w:p w14:paraId="63C791B6" w14:textId="77777777" w:rsidR="00636330" w:rsidRDefault="00636330" w:rsidP="00533BA8">
      <w:pPr>
        <w:spacing w:before="120" w:after="0" w:line="276" w:lineRule="auto"/>
        <w:jc w:val="both"/>
        <w:rPr>
          <w:rFonts w:ascii="Times New Roman" w:hAnsi="Times New Roman" w:cs="Times New Roman"/>
          <w:sz w:val="24"/>
          <w:szCs w:val="24"/>
        </w:rPr>
      </w:pPr>
      <w:r w:rsidRPr="00636330">
        <w:rPr>
          <w:rFonts w:ascii="Times New Roman" w:hAnsi="Times New Roman" w:cs="Times New Roman"/>
          <w:sz w:val="24"/>
          <w:szCs w:val="24"/>
        </w:rPr>
        <w:t>Sodium Technology Complex (STC)</w:t>
      </w:r>
      <w:r w:rsidR="00BF5624">
        <w:rPr>
          <w:rFonts w:ascii="Times New Roman" w:hAnsi="Times New Roman" w:cs="Times New Roman"/>
          <w:sz w:val="24"/>
          <w:szCs w:val="24"/>
        </w:rPr>
        <w:t xml:space="preserve"> building </w:t>
      </w:r>
      <w:r w:rsidRPr="00636330">
        <w:rPr>
          <w:rFonts w:ascii="Times New Roman" w:hAnsi="Times New Roman" w:cs="Times New Roman"/>
          <w:sz w:val="24"/>
          <w:szCs w:val="24"/>
        </w:rPr>
        <w:t xml:space="preserve">is constructed with a high bay (43 m) to meet in-sodium testing of long reactor components. The facility features long vertical test vessels and </w:t>
      </w:r>
      <w:r w:rsidR="00BF5624">
        <w:rPr>
          <w:rFonts w:ascii="Times New Roman" w:hAnsi="Times New Roman" w:cs="Times New Roman"/>
          <w:sz w:val="24"/>
          <w:szCs w:val="24"/>
        </w:rPr>
        <w:t xml:space="preserve">hence </w:t>
      </w:r>
      <w:r w:rsidRPr="00636330">
        <w:rPr>
          <w:rFonts w:ascii="Times New Roman" w:hAnsi="Times New Roman" w:cs="Times New Roman"/>
          <w:sz w:val="24"/>
          <w:szCs w:val="24"/>
        </w:rPr>
        <w:t>requires long-level probes to measure the sodium level</w:t>
      </w:r>
      <w:r w:rsidR="00BF5624">
        <w:rPr>
          <w:rFonts w:ascii="Times New Roman" w:hAnsi="Times New Roman" w:cs="Times New Roman"/>
          <w:sz w:val="24"/>
          <w:szCs w:val="24"/>
        </w:rPr>
        <w:t xml:space="preserve"> in test vessels</w:t>
      </w:r>
      <w:r w:rsidRPr="00636330">
        <w:rPr>
          <w:rFonts w:ascii="Times New Roman" w:hAnsi="Times New Roman" w:cs="Times New Roman"/>
          <w:sz w:val="24"/>
          <w:szCs w:val="24"/>
        </w:rPr>
        <w:t>. Level probes are kept in the level probe pocket assembly to prevent direct contact with sodium, ensuring their proper functionality. Manufacturing of Level Probe Pocket Assemblie</w:t>
      </w:r>
      <w:r>
        <w:rPr>
          <w:rFonts w:ascii="Times New Roman" w:hAnsi="Times New Roman" w:cs="Times New Roman"/>
          <w:sz w:val="24"/>
          <w:szCs w:val="24"/>
        </w:rPr>
        <w:t>s (</w:t>
      </w:r>
      <w:r w:rsidR="001670F2">
        <w:rPr>
          <w:rFonts w:ascii="Times New Roman" w:hAnsi="Times New Roman" w:cs="Times New Roman"/>
          <w:sz w:val="24"/>
          <w:szCs w:val="24"/>
        </w:rPr>
        <w:t xml:space="preserve">to have </w:t>
      </w:r>
      <w:r>
        <w:rPr>
          <w:rFonts w:ascii="Times New Roman" w:hAnsi="Times New Roman" w:cs="Times New Roman"/>
          <w:sz w:val="24"/>
          <w:szCs w:val="24"/>
        </w:rPr>
        <w:t>Mutual Inductance type</w:t>
      </w:r>
      <w:r w:rsidR="001670F2">
        <w:rPr>
          <w:rFonts w:ascii="Times New Roman" w:hAnsi="Times New Roman" w:cs="Times New Roman"/>
          <w:sz w:val="24"/>
          <w:szCs w:val="24"/>
        </w:rPr>
        <w:t xml:space="preserve"> level probes to measure sodium level in vessel</w:t>
      </w:r>
      <w:r>
        <w:rPr>
          <w:rFonts w:ascii="Times New Roman" w:hAnsi="Times New Roman" w:cs="Times New Roman"/>
          <w:sz w:val="24"/>
          <w:szCs w:val="24"/>
        </w:rPr>
        <w:t xml:space="preserve">, Qty. </w:t>
      </w:r>
      <w:r w:rsidRPr="00636330">
        <w:rPr>
          <w:rFonts w:ascii="Times New Roman" w:hAnsi="Times New Roman" w:cs="Times New Roman"/>
          <w:sz w:val="24"/>
          <w:szCs w:val="24"/>
        </w:rPr>
        <w:t xml:space="preserve">17 </w:t>
      </w:r>
      <w:proofErr w:type="spellStart"/>
      <w:r w:rsidRPr="00636330">
        <w:rPr>
          <w:rFonts w:ascii="Times New Roman" w:hAnsi="Times New Roman" w:cs="Times New Roman"/>
          <w:sz w:val="24"/>
          <w:szCs w:val="24"/>
        </w:rPr>
        <w:t>nos</w:t>
      </w:r>
      <w:proofErr w:type="spellEnd"/>
      <w:r w:rsidRPr="00636330">
        <w:rPr>
          <w:rFonts w:ascii="Times New Roman" w:hAnsi="Times New Roman" w:cs="Times New Roman"/>
          <w:sz w:val="24"/>
          <w:szCs w:val="24"/>
        </w:rPr>
        <w:t xml:space="preserve">) for the </w:t>
      </w:r>
      <w:r w:rsidR="00C7200E">
        <w:rPr>
          <w:rFonts w:ascii="Times New Roman" w:hAnsi="Times New Roman" w:cs="Times New Roman"/>
          <w:sz w:val="24"/>
          <w:szCs w:val="24"/>
        </w:rPr>
        <w:t>STC</w:t>
      </w:r>
      <w:r w:rsidRPr="00636330">
        <w:rPr>
          <w:rFonts w:ascii="Times New Roman" w:hAnsi="Times New Roman" w:cs="Times New Roman"/>
          <w:sz w:val="24"/>
          <w:szCs w:val="24"/>
        </w:rPr>
        <w:t xml:space="preserve"> was executed at the Zonal W</w:t>
      </w:r>
      <w:r w:rsidR="00713198">
        <w:rPr>
          <w:rFonts w:ascii="Times New Roman" w:hAnsi="Times New Roman" w:cs="Times New Roman"/>
          <w:sz w:val="24"/>
          <w:szCs w:val="24"/>
        </w:rPr>
        <w:t>orkshop of</w:t>
      </w:r>
      <w:r w:rsidR="00C7200E">
        <w:rPr>
          <w:rFonts w:ascii="Times New Roman" w:hAnsi="Times New Roman" w:cs="Times New Roman"/>
          <w:sz w:val="24"/>
          <w:szCs w:val="24"/>
        </w:rPr>
        <w:t xml:space="preserve"> IGCAR. The assemblies </w:t>
      </w:r>
      <w:r w:rsidR="00660835">
        <w:rPr>
          <w:rFonts w:ascii="Times New Roman" w:hAnsi="Times New Roman" w:cs="Times New Roman"/>
          <w:sz w:val="24"/>
          <w:szCs w:val="24"/>
        </w:rPr>
        <w:t>feature</w:t>
      </w:r>
      <w:r w:rsidRPr="00636330">
        <w:rPr>
          <w:rFonts w:ascii="Times New Roman" w:hAnsi="Times New Roman" w:cs="Times New Roman"/>
          <w:sz w:val="24"/>
          <w:szCs w:val="24"/>
        </w:rPr>
        <w:t xml:space="preserve"> a 6-meter-long central pipe, incorporating a pocket closure cup, a 1¼” </w:t>
      </w:r>
      <w:r w:rsidR="00660835">
        <w:rPr>
          <w:rFonts w:ascii="Times New Roman" w:hAnsi="Times New Roman" w:cs="Times New Roman"/>
          <w:sz w:val="24"/>
          <w:szCs w:val="24"/>
        </w:rPr>
        <w:t>s</w:t>
      </w:r>
      <w:r w:rsidRPr="00636330">
        <w:rPr>
          <w:rFonts w:ascii="Times New Roman" w:hAnsi="Times New Roman" w:cs="Times New Roman"/>
          <w:sz w:val="24"/>
          <w:szCs w:val="24"/>
        </w:rPr>
        <w:t>chedule 10 pipe, a pocket flange, a top flange, and a dummy flange. All parts are meticulously machined, welded, and undergo N</w:t>
      </w:r>
      <w:r w:rsidR="006B305A">
        <w:rPr>
          <w:rFonts w:ascii="Times New Roman" w:hAnsi="Times New Roman" w:cs="Times New Roman"/>
          <w:sz w:val="24"/>
          <w:szCs w:val="24"/>
        </w:rPr>
        <w:t xml:space="preserve">one </w:t>
      </w:r>
      <w:r w:rsidRPr="00636330">
        <w:rPr>
          <w:rFonts w:ascii="Times New Roman" w:hAnsi="Times New Roman" w:cs="Times New Roman"/>
          <w:sz w:val="24"/>
          <w:szCs w:val="24"/>
        </w:rPr>
        <w:t>D</w:t>
      </w:r>
      <w:r w:rsidR="006B305A">
        <w:rPr>
          <w:rFonts w:ascii="Times New Roman" w:hAnsi="Times New Roman" w:cs="Times New Roman"/>
          <w:sz w:val="24"/>
          <w:szCs w:val="24"/>
        </w:rPr>
        <w:t xml:space="preserve">estructive </w:t>
      </w:r>
      <w:r w:rsidRPr="00636330">
        <w:rPr>
          <w:rFonts w:ascii="Times New Roman" w:hAnsi="Times New Roman" w:cs="Times New Roman"/>
          <w:sz w:val="24"/>
          <w:szCs w:val="24"/>
        </w:rPr>
        <w:t>E</w:t>
      </w:r>
      <w:r w:rsidR="006B305A">
        <w:rPr>
          <w:rFonts w:ascii="Times New Roman" w:hAnsi="Times New Roman" w:cs="Times New Roman"/>
          <w:sz w:val="24"/>
          <w:szCs w:val="24"/>
        </w:rPr>
        <w:t>xamination (NDE)</w:t>
      </w:r>
      <w:r w:rsidRPr="00636330">
        <w:rPr>
          <w:rFonts w:ascii="Times New Roman" w:hAnsi="Times New Roman" w:cs="Times New Roman"/>
          <w:sz w:val="24"/>
          <w:szCs w:val="24"/>
        </w:rPr>
        <w:t xml:space="preserve">, then assembled, tested pneumatically, and subjected to </w:t>
      </w:r>
      <w:r w:rsidR="00242D32" w:rsidRPr="00636330">
        <w:rPr>
          <w:rFonts w:ascii="Times New Roman" w:hAnsi="Times New Roman" w:cs="Times New Roman"/>
          <w:sz w:val="24"/>
          <w:szCs w:val="24"/>
        </w:rPr>
        <w:t xml:space="preserve">Helium Leak Testing </w:t>
      </w:r>
      <w:r w:rsidR="00242D32">
        <w:rPr>
          <w:rFonts w:ascii="Times New Roman" w:hAnsi="Times New Roman" w:cs="Times New Roman"/>
          <w:sz w:val="24"/>
          <w:szCs w:val="24"/>
        </w:rPr>
        <w:t>(</w:t>
      </w:r>
      <w:r w:rsidRPr="00636330">
        <w:rPr>
          <w:rFonts w:ascii="Times New Roman" w:hAnsi="Times New Roman" w:cs="Times New Roman"/>
          <w:sz w:val="24"/>
          <w:szCs w:val="24"/>
        </w:rPr>
        <w:t>HLT</w:t>
      </w:r>
      <w:r w:rsidR="00242D32">
        <w:rPr>
          <w:rFonts w:ascii="Times New Roman" w:hAnsi="Times New Roman" w:cs="Times New Roman"/>
          <w:sz w:val="24"/>
          <w:szCs w:val="24"/>
        </w:rPr>
        <w:t>)</w:t>
      </w:r>
      <w:r w:rsidRPr="00636330">
        <w:rPr>
          <w:rFonts w:ascii="Times New Roman" w:hAnsi="Times New Roman" w:cs="Times New Roman"/>
          <w:sz w:val="24"/>
          <w:szCs w:val="24"/>
        </w:rPr>
        <w:t xml:space="preserve"> testing. The Gas Tungsten Arc Welding (GTAW) process was employed to join the closure cup at one end and the pocket/top flange at the other end. To address the high linear distortion potential due to the long pipe length, </w:t>
      </w:r>
      <w:r w:rsidR="005C4011" w:rsidRPr="005C4011">
        <w:rPr>
          <w:rFonts w:ascii="Times New Roman" w:hAnsi="Times New Roman" w:cs="Times New Roman"/>
          <w:sz w:val="24"/>
          <w:szCs w:val="24"/>
        </w:rPr>
        <w:t>Multi-pass GTAW with controlled heat input</w:t>
      </w:r>
      <w:r w:rsidRPr="00636330">
        <w:rPr>
          <w:rFonts w:ascii="Times New Roman" w:hAnsi="Times New Roman" w:cs="Times New Roman"/>
          <w:sz w:val="24"/>
          <w:szCs w:val="24"/>
        </w:rPr>
        <w:t xml:space="preserve"> was adopted, which was further supported by intermittent cooling, external clamping fixtures secured at various points using a dial gauge, and continuous purging of the weld zone from the inner side of the pipe to reduce thermal stresses and maintain straightness.</w:t>
      </w:r>
      <w:r w:rsidR="00266DA1">
        <w:rPr>
          <w:rFonts w:ascii="Times New Roman" w:hAnsi="Times New Roman" w:cs="Times New Roman"/>
          <w:sz w:val="24"/>
          <w:szCs w:val="24"/>
        </w:rPr>
        <w:t xml:space="preserve"> Straightness of the pocket is essential </w:t>
      </w:r>
      <w:r w:rsidR="00500CE6">
        <w:rPr>
          <w:rFonts w:ascii="Times New Roman" w:hAnsi="Times New Roman" w:cs="Times New Roman"/>
          <w:sz w:val="24"/>
          <w:szCs w:val="24"/>
        </w:rPr>
        <w:t>to</w:t>
      </w:r>
      <w:r w:rsidR="00266DA1">
        <w:rPr>
          <w:rFonts w:ascii="Times New Roman" w:hAnsi="Times New Roman" w:cs="Times New Roman"/>
          <w:sz w:val="24"/>
          <w:szCs w:val="24"/>
        </w:rPr>
        <w:t xml:space="preserve"> minimising error in the sodium level measurement.</w:t>
      </w:r>
      <w:r w:rsidRPr="00636330">
        <w:rPr>
          <w:rFonts w:ascii="Times New Roman" w:hAnsi="Times New Roman" w:cs="Times New Roman"/>
          <w:sz w:val="24"/>
          <w:szCs w:val="24"/>
        </w:rPr>
        <w:t xml:space="preserve"> Liquid Penetrant Examination (LPE) is performed on the prepared weld edge, root pass and final pass of all the weld joints. Radiographic Examination is performed on all butt joints. Pneumatic testing was performed to ensure the structural integrity of manufactured assemblies. Bubble leak test and HLT are performed to confirm the leak tightness required for sodium technology. Rigorous precautions were taken throughout the welding process to minimise distortion, ensuring compliance with the design specifications. The completed assemblies were thoroughly inspected and validated for seamless probe insertion, meeting all required standards. This approach emphasises the effective integration of advanced welding techniques and stringent testing protocols, ensuring the reliable quality that meets the precision manufacturing requirements of equipment for STC.</w:t>
      </w:r>
    </w:p>
    <w:p w14:paraId="7A2DCEC0" w14:textId="77777777" w:rsidR="00636330" w:rsidRPr="00533BA8" w:rsidRDefault="00636330" w:rsidP="00533BA8">
      <w:pPr>
        <w:spacing w:before="120" w:after="0" w:line="276" w:lineRule="auto"/>
        <w:jc w:val="both"/>
        <w:rPr>
          <w:rFonts w:ascii="Times New Roman" w:hAnsi="Times New Roman" w:cs="Times New Roman"/>
          <w:sz w:val="24"/>
          <w:szCs w:val="24"/>
        </w:rPr>
      </w:pPr>
    </w:p>
    <w:p w14:paraId="4A61A192" w14:textId="77777777" w:rsidR="00153303" w:rsidRDefault="00636330" w:rsidP="00BA220D">
      <w:pPr>
        <w:pStyle w:val="Default"/>
        <w:jc w:val="both"/>
      </w:pPr>
      <w:r w:rsidRPr="00DC23D7">
        <w:rPr>
          <w:b/>
        </w:rPr>
        <w:t>Keywords:</w:t>
      </w:r>
      <w:r w:rsidRPr="00DC23D7">
        <w:t xml:space="preserve"> </w:t>
      </w:r>
      <w:r w:rsidR="00C7200E">
        <w:t>Level Probe Pocket Assembly, Manufacturing</w:t>
      </w:r>
      <w:r w:rsidR="00C7200E" w:rsidRPr="00C7200E">
        <w:t xml:space="preserve"> </w:t>
      </w:r>
      <w:r w:rsidRPr="00C7200E">
        <w:t>challenges</w:t>
      </w:r>
      <w:r>
        <w:rPr>
          <w:sz w:val="22"/>
          <w:szCs w:val="22"/>
        </w:rPr>
        <w:t xml:space="preserve">, </w:t>
      </w:r>
      <w:r>
        <w:t>w</w:t>
      </w:r>
      <w:r w:rsidR="00C7200E">
        <w:t>eld distortion control</w:t>
      </w:r>
    </w:p>
    <w:sectPr w:rsidR="00153303" w:rsidSect="00FD41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2E2"/>
    <w:rsid w:val="00031781"/>
    <w:rsid w:val="00051B0E"/>
    <w:rsid w:val="000A257A"/>
    <w:rsid w:val="00105278"/>
    <w:rsid w:val="00143B94"/>
    <w:rsid w:val="00153303"/>
    <w:rsid w:val="001670F2"/>
    <w:rsid w:val="00193BE8"/>
    <w:rsid w:val="001F1B9B"/>
    <w:rsid w:val="00226A6C"/>
    <w:rsid w:val="00242D32"/>
    <w:rsid w:val="002475AC"/>
    <w:rsid w:val="00266DA1"/>
    <w:rsid w:val="00277115"/>
    <w:rsid w:val="002D4A18"/>
    <w:rsid w:val="002D76CB"/>
    <w:rsid w:val="003A2406"/>
    <w:rsid w:val="003D3311"/>
    <w:rsid w:val="004D3D62"/>
    <w:rsid w:val="004D5111"/>
    <w:rsid w:val="00500CE6"/>
    <w:rsid w:val="005126C9"/>
    <w:rsid w:val="00532303"/>
    <w:rsid w:val="00533BA8"/>
    <w:rsid w:val="0053650E"/>
    <w:rsid w:val="005B2FED"/>
    <w:rsid w:val="005C4011"/>
    <w:rsid w:val="00622FCF"/>
    <w:rsid w:val="00631350"/>
    <w:rsid w:val="00636330"/>
    <w:rsid w:val="00660835"/>
    <w:rsid w:val="00662454"/>
    <w:rsid w:val="006B305A"/>
    <w:rsid w:val="00713198"/>
    <w:rsid w:val="007248A4"/>
    <w:rsid w:val="00736A8E"/>
    <w:rsid w:val="00747F88"/>
    <w:rsid w:val="007732E2"/>
    <w:rsid w:val="007C0F5C"/>
    <w:rsid w:val="00827EDE"/>
    <w:rsid w:val="008656FD"/>
    <w:rsid w:val="00870EC0"/>
    <w:rsid w:val="00901854"/>
    <w:rsid w:val="0094662E"/>
    <w:rsid w:val="00952F6C"/>
    <w:rsid w:val="009831EB"/>
    <w:rsid w:val="009C3D64"/>
    <w:rsid w:val="009D5696"/>
    <w:rsid w:val="00A62BAF"/>
    <w:rsid w:val="00AB30AE"/>
    <w:rsid w:val="00AD4808"/>
    <w:rsid w:val="00B07D32"/>
    <w:rsid w:val="00B12F55"/>
    <w:rsid w:val="00B31C09"/>
    <w:rsid w:val="00B3464A"/>
    <w:rsid w:val="00B73239"/>
    <w:rsid w:val="00B77C5F"/>
    <w:rsid w:val="00B9101B"/>
    <w:rsid w:val="00BA220D"/>
    <w:rsid w:val="00BF5624"/>
    <w:rsid w:val="00C1559F"/>
    <w:rsid w:val="00C7200E"/>
    <w:rsid w:val="00DA4449"/>
    <w:rsid w:val="00DD30A3"/>
    <w:rsid w:val="00DE1C05"/>
    <w:rsid w:val="00E023EF"/>
    <w:rsid w:val="00EC7D7F"/>
    <w:rsid w:val="00EE44BB"/>
    <w:rsid w:val="00FA4401"/>
    <w:rsid w:val="00FD260D"/>
    <w:rsid w:val="00FD417C"/>
    <w:rsid w:val="00FF5331"/>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B85FB"/>
  <w15:docId w15:val="{47CDDEDA-424E-4A8B-B739-168CE4F1C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417C"/>
  </w:style>
  <w:style w:type="paragraph" w:styleId="Heading1">
    <w:name w:val="heading 1"/>
    <w:basedOn w:val="Normal"/>
    <w:next w:val="Normal"/>
    <w:link w:val="Heading1Char"/>
    <w:uiPriority w:val="9"/>
    <w:qFormat/>
    <w:rsid w:val="007732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732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732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732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732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732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32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32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32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32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732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732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732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732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732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32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32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32E2"/>
    <w:rPr>
      <w:rFonts w:eastAsiaTheme="majorEastAsia" w:cstheme="majorBidi"/>
      <w:color w:val="272727" w:themeColor="text1" w:themeTint="D8"/>
    </w:rPr>
  </w:style>
  <w:style w:type="paragraph" w:styleId="Title">
    <w:name w:val="Title"/>
    <w:basedOn w:val="Normal"/>
    <w:next w:val="Normal"/>
    <w:link w:val="TitleChar"/>
    <w:uiPriority w:val="10"/>
    <w:qFormat/>
    <w:rsid w:val="007732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32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32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32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32E2"/>
    <w:pPr>
      <w:spacing w:before="160"/>
      <w:jc w:val="center"/>
    </w:pPr>
    <w:rPr>
      <w:i/>
      <w:iCs/>
      <w:color w:val="404040" w:themeColor="text1" w:themeTint="BF"/>
    </w:rPr>
  </w:style>
  <w:style w:type="character" w:customStyle="1" w:styleId="QuoteChar">
    <w:name w:val="Quote Char"/>
    <w:basedOn w:val="DefaultParagraphFont"/>
    <w:link w:val="Quote"/>
    <w:uiPriority w:val="29"/>
    <w:rsid w:val="007732E2"/>
    <w:rPr>
      <w:i/>
      <w:iCs/>
      <w:color w:val="404040" w:themeColor="text1" w:themeTint="BF"/>
    </w:rPr>
  </w:style>
  <w:style w:type="paragraph" w:styleId="ListParagraph">
    <w:name w:val="List Paragraph"/>
    <w:basedOn w:val="Normal"/>
    <w:uiPriority w:val="34"/>
    <w:qFormat/>
    <w:rsid w:val="007732E2"/>
    <w:pPr>
      <w:ind w:left="720"/>
      <w:contextualSpacing/>
    </w:pPr>
  </w:style>
  <w:style w:type="character" w:styleId="IntenseEmphasis">
    <w:name w:val="Intense Emphasis"/>
    <w:basedOn w:val="DefaultParagraphFont"/>
    <w:uiPriority w:val="21"/>
    <w:qFormat/>
    <w:rsid w:val="007732E2"/>
    <w:rPr>
      <w:i/>
      <w:iCs/>
      <w:color w:val="2F5496" w:themeColor="accent1" w:themeShade="BF"/>
    </w:rPr>
  </w:style>
  <w:style w:type="paragraph" w:styleId="IntenseQuote">
    <w:name w:val="Intense Quote"/>
    <w:basedOn w:val="Normal"/>
    <w:next w:val="Normal"/>
    <w:link w:val="IntenseQuoteChar"/>
    <w:uiPriority w:val="30"/>
    <w:qFormat/>
    <w:rsid w:val="007732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732E2"/>
    <w:rPr>
      <w:i/>
      <w:iCs/>
      <w:color w:val="2F5496" w:themeColor="accent1" w:themeShade="BF"/>
    </w:rPr>
  </w:style>
  <w:style w:type="character" w:styleId="IntenseReference">
    <w:name w:val="Intense Reference"/>
    <w:basedOn w:val="DefaultParagraphFont"/>
    <w:uiPriority w:val="32"/>
    <w:qFormat/>
    <w:rsid w:val="007732E2"/>
    <w:rPr>
      <w:b/>
      <w:bCs/>
      <w:smallCaps/>
      <w:color w:val="2F5496" w:themeColor="accent1" w:themeShade="BF"/>
      <w:spacing w:val="5"/>
    </w:rPr>
  </w:style>
  <w:style w:type="paragraph" w:styleId="NormalWeb">
    <w:name w:val="Normal (Web)"/>
    <w:basedOn w:val="Normal"/>
    <w:uiPriority w:val="99"/>
    <w:unhideWhenUsed/>
    <w:rsid w:val="00AD4808"/>
    <w:pPr>
      <w:spacing w:before="100" w:beforeAutospacing="1" w:after="100" w:afterAutospacing="1" w:line="240" w:lineRule="auto"/>
    </w:pPr>
    <w:rPr>
      <w:rFonts w:ascii="Times New Roman" w:eastAsia="Times New Roman" w:hAnsi="Times New Roman" w:cs="Times New Roman"/>
      <w:kern w:val="0"/>
      <w:sz w:val="24"/>
      <w:szCs w:val="24"/>
      <w:lang w:eastAsia="en-IN" w:bidi="hi-IN"/>
    </w:rPr>
  </w:style>
  <w:style w:type="paragraph" w:customStyle="1" w:styleId="ds-markdown-paragraph">
    <w:name w:val="ds-markdown-paragraph"/>
    <w:basedOn w:val="Normal"/>
    <w:rsid w:val="003D3311"/>
    <w:pPr>
      <w:spacing w:before="100" w:beforeAutospacing="1" w:after="100" w:afterAutospacing="1" w:line="240" w:lineRule="auto"/>
    </w:pPr>
    <w:rPr>
      <w:rFonts w:ascii="Times New Roman" w:eastAsia="Times New Roman" w:hAnsi="Times New Roman" w:cs="Times New Roman"/>
      <w:kern w:val="0"/>
      <w:sz w:val="24"/>
      <w:szCs w:val="24"/>
      <w:lang w:eastAsia="en-IN" w:bidi="hi-IN"/>
    </w:rPr>
  </w:style>
  <w:style w:type="character" w:styleId="Hyperlink">
    <w:name w:val="Hyperlink"/>
    <w:uiPriority w:val="99"/>
    <w:unhideWhenUsed/>
    <w:rsid w:val="00533BA8"/>
    <w:rPr>
      <w:color w:val="0563C1"/>
      <w:u w:val="single"/>
    </w:rPr>
  </w:style>
  <w:style w:type="paragraph" w:customStyle="1" w:styleId="Default">
    <w:name w:val="Default"/>
    <w:rsid w:val="00636330"/>
    <w:pPr>
      <w:autoSpaceDE w:val="0"/>
      <w:autoSpaceDN w:val="0"/>
      <w:adjustRightInd w:val="0"/>
      <w:spacing w:after="0" w:line="240" w:lineRule="auto"/>
    </w:pPr>
    <w:rPr>
      <w:rFonts w:ascii="Times New Roman" w:eastAsia="Calibri" w:hAnsi="Times New Roman" w:cs="Times New Roman"/>
      <w:color w:val="000000"/>
      <w:kern w:val="0"/>
      <w:sz w:val="24"/>
      <w:szCs w:val="24"/>
      <w:lang w:val="en-US"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0775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5C5860-96E4-4038-A900-C0269F8652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432</Words>
  <Characters>2465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2025-10-29T05:41:00Z</dcterms:created>
  <dcterms:modified xsi:type="dcterms:W3CDTF">2025-10-29T05:41:00Z</dcterms:modified>
</cp:coreProperties>
</file>