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BE05B" w14:textId="1BBD86F0" w:rsidR="00B84643" w:rsidRDefault="00B84643" w:rsidP="00B84643">
      <w:pPr>
        <w:spacing w:after="0" w:line="360" w:lineRule="auto"/>
        <w:ind w:firstLine="720"/>
        <w:jc w:val="center"/>
        <w:rPr>
          <w:rFonts w:ascii="Times New Roman" w:hAnsi="Times New Roman" w:cs="Times New Roman"/>
          <w:b/>
          <w:bCs/>
          <w:sz w:val="28"/>
          <w:szCs w:val="28"/>
        </w:rPr>
      </w:pPr>
      <w:r w:rsidRPr="00B84643">
        <w:rPr>
          <w:rFonts w:ascii="Times New Roman" w:hAnsi="Times New Roman" w:cs="Times New Roman"/>
          <w:b/>
          <w:bCs/>
          <w:sz w:val="28"/>
          <w:szCs w:val="28"/>
        </w:rPr>
        <w:t>Effect of Filler Wire Type on the Microstructure and Mechanical Properties of Cold Metal Transfer Wire-Arc Additively Manufactured HSLA Steel Cylinders</w:t>
      </w:r>
    </w:p>
    <w:p w14:paraId="4F73BCF7" w14:textId="77777777" w:rsidR="00B84643" w:rsidRPr="00625908" w:rsidRDefault="00B84643" w:rsidP="00B84643">
      <w:pPr>
        <w:spacing w:after="0" w:line="276" w:lineRule="auto"/>
        <w:jc w:val="center"/>
        <w:rPr>
          <w:rFonts w:ascii="Times New Roman" w:hAnsi="Times New Roman" w:cs="Times New Roman"/>
          <w:b/>
          <w:vertAlign w:val="superscript"/>
        </w:rPr>
      </w:pPr>
      <w:r w:rsidRPr="00625908">
        <w:rPr>
          <w:rFonts w:ascii="Times New Roman" w:hAnsi="Times New Roman" w:cs="Times New Roman"/>
          <w:b/>
        </w:rPr>
        <w:t>B. Prabhakaran</w:t>
      </w:r>
      <w:r w:rsidRPr="00625908">
        <w:rPr>
          <w:rFonts w:ascii="Times New Roman" w:hAnsi="Times New Roman" w:cs="Times New Roman"/>
          <w:b/>
          <w:vertAlign w:val="superscript"/>
        </w:rPr>
        <w:t>*</w:t>
      </w:r>
      <w:r w:rsidRPr="00625908">
        <w:rPr>
          <w:rFonts w:ascii="Times New Roman" w:hAnsi="Times New Roman" w:cs="Times New Roman"/>
          <w:b/>
        </w:rPr>
        <w:t>, P. Sivaraj, S. Malarvizhi</w:t>
      </w:r>
      <w:r w:rsidRPr="00625908">
        <w:rPr>
          <w:rFonts w:ascii="Times New Roman" w:hAnsi="Times New Roman" w:cs="Times New Roman"/>
          <w:b/>
          <w:vertAlign w:val="subscript"/>
        </w:rPr>
        <w:t>,</w:t>
      </w:r>
      <w:r w:rsidRPr="00625908">
        <w:rPr>
          <w:rFonts w:ascii="Times New Roman" w:hAnsi="Times New Roman" w:cs="Times New Roman"/>
          <w:b/>
        </w:rPr>
        <w:t xml:space="preserve"> V. Balasubramanian</w:t>
      </w:r>
    </w:p>
    <w:p w14:paraId="2625393B" w14:textId="77777777" w:rsidR="00B84643" w:rsidRDefault="00B84643" w:rsidP="00B84643">
      <w:pPr>
        <w:spacing w:after="0" w:line="276" w:lineRule="auto"/>
        <w:jc w:val="center"/>
        <w:rPr>
          <w:rFonts w:ascii="Times New Roman" w:hAnsi="Times New Roman" w:cs="Times New Roman"/>
          <w:i/>
          <w:iCs/>
        </w:rPr>
      </w:pPr>
      <w:r w:rsidRPr="00550D97">
        <w:rPr>
          <w:rFonts w:ascii="Times New Roman" w:hAnsi="Times New Roman" w:cs="Times New Roman"/>
          <w:i/>
          <w:iCs/>
        </w:rPr>
        <w:t>Centre for Materials Joining and Research (CEMAJOR), Department of Manufacturing Engineering, Annamalai University, Annamalai Nagar, Chidambaram, India-608002.</w:t>
      </w:r>
    </w:p>
    <w:p w14:paraId="226318E7" w14:textId="3491E3E9" w:rsidR="00B84643" w:rsidRDefault="00661D4A" w:rsidP="00B84643">
      <w:pPr>
        <w:spacing w:after="0" w:line="276" w:lineRule="auto"/>
        <w:jc w:val="center"/>
        <w:rPr>
          <w:rFonts w:ascii="Times New Roman" w:hAnsi="Times New Roman" w:cs="Times New Roman"/>
          <w:i/>
          <w:iCs/>
        </w:rPr>
      </w:pPr>
      <w:r w:rsidRPr="00661D4A">
        <w:rPr>
          <w:rFonts w:ascii="Times New Roman" w:hAnsi="Times New Roman" w:cs="Times New Roman"/>
          <w:b/>
          <w:bCs/>
          <w:i/>
          <w:iCs/>
        </w:rPr>
        <w:t>Corresponding author Email:</w:t>
      </w:r>
      <w:r>
        <w:rPr>
          <w:rFonts w:ascii="Times New Roman" w:hAnsi="Times New Roman" w:cs="Times New Roman"/>
          <w:i/>
          <w:iCs/>
        </w:rPr>
        <w:t xml:space="preserve"> </w:t>
      </w:r>
      <w:hyperlink r:id="rId4" w:history="1">
        <w:r w:rsidRPr="006275AD">
          <w:rPr>
            <w:rStyle w:val="Hyperlink"/>
            <w:rFonts w:ascii="Times New Roman" w:hAnsi="Times New Roman" w:cs="Times New Roman"/>
            <w:i/>
            <w:iCs/>
          </w:rPr>
          <w:t>rsamuniv2021@gmail.com</w:t>
        </w:r>
      </w:hyperlink>
    </w:p>
    <w:p w14:paraId="4C20978B" w14:textId="77777777" w:rsidR="00661D4A" w:rsidRPr="00550D97" w:rsidRDefault="00661D4A" w:rsidP="00B84643">
      <w:pPr>
        <w:spacing w:after="0" w:line="276" w:lineRule="auto"/>
        <w:jc w:val="center"/>
        <w:rPr>
          <w:rFonts w:ascii="Times New Roman" w:hAnsi="Times New Roman" w:cs="Times New Roman"/>
          <w:i/>
          <w:iCs/>
        </w:rPr>
      </w:pPr>
    </w:p>
    <w:p w14:paraId="670D11AB" w14:textId="3B8751D7" w:rsidR="00B84643" w:rsidRDefault="00B84643" w:rsidP="00B84643">
      <w:pPr>
        <w:spacing w:line="360" w:lineRule="auto"/>
        <w:ind w:firstLine="720"/>
        <w:jc w:val="both"/>
        <w:rPr>
          <w:rFonts w:ascii="Times New Roman" w:hAnsi="Times New Roman" w:cs="Times New Roman"/>
        </w:rPr>
      </w:pPr>
      <w:r w:rsidRPr="00B84643">
        <w:rPr>
          <w:rFonts w:ascii="Times New Roman" w:hAnsi="Times New Roman" w:cs="Times New Roman"/>
        </w:rPr>
        <w:t xml:space="preserve">Wire-arc additive manufacturing (WAAM) has emerged as a promising technique for fabricating large and complex components with high deposition efficiency, low production cost, and superior buy-to-fly ratios compared to conventional and other additive manufacturing processes. However, limited studies have focused on </w:t>
      </w:r>
      <w:r w:rsidR="00661D4A">
        <w:rPr>
          <w:rFonts w:ascii="Times New Roman" w:hAnsi="Times New Roman" w:cs="Times New Roman"/>
        </w:rPr>
        <w:t xml:space="preserve">the influence of </w:t>
      </w:r>
      <w:r w:rsidRPr="00B84643">
        <w:rPr>
          <w:rFonts w:ascii="Times New Roman" w:hAnsi="Times New Roman" w:cs="Times New Roman"/>
        </w:rPr>
        <w:t xml:space="preserve">filler wire </w:t>
      </w:r>
      <w:r w:rsidR="00661D4A">
        <w:rPr>
          <w:rFonts w:ascii="Times New Roman" w:hAnsi="Times New Roman" w:cs="Times New Roman"/>
        </w:rPr>
        <w:t xml:space="preserve">on </w:t>
      </w:r>
      <w:r w:rsidRPr="00B84643">
        <w:rPr>
          <w:rFonts w:ascii="Times New Roman" w:hAnsi="Times New Roman" w:cs="Times New Roman"/>
        </w:rPr>
        <w:t>properties of WAAM-processed high-strength low-alloy steels. In this study, two cylindrical components were fabricated using solid wire (SW) and metal-cored wire (MCW) under an interlayer temperature of 150°C.</w:t>
      </w:r>
    </w:p>
    <w:p w14:paraId="2011EBEA" w14:textId="2A16E32A" w:rsidR="00A55A95" w:rsidRDefault="00B84643" w:rsidP="00B84643">
      <w:pPr>
        <w:spacing w:line="360" w:lineRule="auto"/>
        <w:ind w:firstLine="720"/>
        <w:jc w:val="both"/>
        <w:rPr>
          <w:rFonts w:ascii="Times New Roman" w:hAnsi="Times New Roman" w:cs="Times New Roman"/>
        </w:rPr>
      </w:pPr>
      <w:r w:rsidRPr="00B84643">
        <w:rPr>
          <w:rFonts w:ascii="Times New Roman" w:hAnsi="Times New Roman" w:cs="Times New Roman"/>
        </w:rPr>
        <w:t xml:space="preserve"> Microstructural </w:t>
      </w:r>
      <w:r w:rsidR="00661D4A">
        <w:rPr>
          <w:rFonts w:ascii="Times New Roman" w:hAnsi="Times New Roman" w:cs="Times New Roman"/>
        </w:rPr>
        <w:t xml:space="preserve">characteristics </w:t>
      </w:r>
      <w:r w:rsidRPr="00B84643">
        <w:rPr>
          <w:rFonts w:ascii="Times New Roman" w:hAnsi="Times New Roman" w:cs="Times New Roman"/>
        </w:rPr>
        <w:t xml:space="preserve">and mechanical properties were examined at the top and bottom regions of each </w:t>
      </w:r>
      <w:r w:rsidR="00661D4A">
        <w:rPr>
          <w:rFonts w:ascii="Times New Roman" w:hAnsi="Times New Roman" w:cs="Times New Roman"/>
        </w:rPr>
        <w:t>cylinder</w:t>
      </w:r>
      <w:r w:rsidRPr="00B84643">
        <w:rPr>
          <w:rFonts w:ascii="Times New Roman" w:hAnsi="Times New Roman" w:cs="Times New Roman"/>
        </w:rPr>
        <w:t>. Owing to variations in thermal gradients during deposition, the top regions exhibited equiaxed grains, whereas the bottom regions contained columnar grains. The average grain size in the SW component was 20.3 μm (top) and 10.7 μm (bottom), while the MCW component showed finer grains of 10.2 μm (top) and 4.7 μm (bottom). The refined microstructure in the MCW-deposited component is attributed to its short-circuit transfer mode in cold metal transfer (CMT) technology and lower heat input. Correspondingly, mechanical testing revealed higher yield strength (YS) and ultimate tensile strength (UTS) in bottom regions of</w:t>
      </w:r>
      <w:r w:rsidR="00661D4A">
        <w:rPr>
          <w:rFonts w:ascii="Times New Roman" w:hAnsi="Times New Roman" w:cs="Times New Roman"/>
        </w:rPr>
        <w:t xml:space="preserve"> </w:t>
      </w:r>
      <w:r w:rsidRPr="00B84643">
        <w:rPr>
          <w:rFonts w:ascii="Times New Roman" w:hAnsi="Times New Roman" w:cs="Times New Roman"/>
        </w:rPr>
        <w:t xml:space="preserve">both </w:t>
      </w:r>
      <w:r w:rsidR="00661D4A">
        <w:rPr>
          <w:rFonts w:ascii="Times New Roman" w:hAnsi="Times New Roman" w:cs="Times New Roman"/>
        </w:rPr>
        <w:t xml:space="preserve">the </w:t>
      </w:r>
      <w:r w:rsidRPr="00B84643">
        <w:rPr>
          <w:rFonts w:ascii="Times New Roman" w:hAnsi="Times New Roman" w:cs="Times New Roman"/>
        </w:rPr>
        <w:t xml:space="preserve">components. The MCW-deposited component </w:t>
      </w:r>
      <w:r w:rsidR="00661D4A">
        <w:rPr>
          <w:rFonts w:ascii="Times New Roman" w:hAnsi="Times New Roman" w:cs="Times New Roman"/>
        </w:rPr>
        <w:t>yielded</w:t>
      </w:r>
      <w:r w:rsidRPr="00B84643">
        <w:rPr>
          <w:rFonts w:ascii="Times New Roman" w:hAnsi="Times New Roman" w:cs="Times New Roman"/>
        </w:rPr>
        <w:t xml:space="preserve"> UTS of 951 ± 26 MPa, approximately 18.2% higher than that of the SW-deposited component. Similar trends were observed in the top regions. The enhancement in strength primarily arose from solid solution strengthening, grain boundary strengthening, and dislocation strengthening mechanisms.</w:t>
      </w:r>
      <w:r w:rsidR="00661D4A">
        <w:rPr>
          <w:rFonts w:ascii="Times New Roman" w:hAnsi="Times New Roman" w:cs="Times New Roman"/>
        </w:rPr>
        <w:t xml:space="preserve"> These aspects were discussed in the paper</w:t>
      </w:r>
    </w:p>
    <w:p w14:paraId="2AAAD4E7" w14:textId="36A6758D" w:rsidR="00B84643" w:rsidRPr="00B84643" w:rsidRDefault="00B84643" w:rsidP="00AC7379">
      <w:pPr>
        <w:pStyle w:val="pb-2"/>
        <w:spacing w:line="360" w:lineRule="auto"/>
        <w:jc w:val="both"/>
      </w:pPr>
      <w:r w:rsidRPr="009E7DBB">
        <w:rPr>
          <w:rFonts w:eastAsiaTheme="minorEastAsia"/>
          <w:b/>
          <w:bCs/>
          <w:i/>
          <w:iCs/>
        </w:rPr>
        <w:t>Keywords:</w:t>
      </w:r>
      <w:r w:rsidRPr="00C64B72">
        <w:rPr>
          <w:rFonts w:eastAsiaTheme="minorEastAsia"/>
        </w:rPr>
        <w:t xml:space="preserve"> Metal</w:t>
      </w:r>
      <w:r>
        <w:rPr>
          <w:rFonts w:eastAsiaTheme="minorEastAsia"/>
        </w:rPr>
        <w:t>-</w:t>
      </w:r>
      <w:r w:rsidRPr="00C64B72">
        <w:rPr>
          <w:rFonts w:eastAsiaTheme="minorEastAsia"/>
        </w:rPr>
        <w:t xml:space="preserve">cored wire; </w:t>
      </w:r>
      <w:r w:rsidR="00661D4A">
        <w:rPr>
          <w:rFonts w:eastAsiaTheme="minorEastAsia"/>
        </w:rPr>
        <w:t>Cold metal Transfer;</w:t>
      </w:r>
      <w:r w:rsidRPr="00C64B72">
        <w:rPr>
          <w:rFonts w:eastAsiaTheme="minorEastAsia"/>
        </w:rPr>
        <w:t xml:space="preserve"> Wire-arc additive manufacturing; High strength low</w:t>
      </w:r>
      <w:r>
        <w:rPr>
          <w:rFonts w:eastAsiaTheme="minorEastAsia"/>
        </w:rPr>
        <w:t>-</w:t>
      </w:r>
      <w:r w:rsidRPr="00C64B72">
        <w:rPr>
          <w:rFonts w:eastAsiaTheme="minorEastAsia"/>
        </w:rPr>
        <w:t>alloy</w:t>
      </w:r>
      <w:r w:rsidR="00661D4A">
        <w:rPr>
          <w:rFonts w:eastAsiaTheme="minorEastAsia"/>
        </w:rPr>
        <w:t xml:space="preserve"> steel. Mechanical Properties, Microstructural Characteristics</w:t>
      </w:r>
    </w:p>
    <w:sectPr w:rsidR="00B84643" w:rsidRPr="00B846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643"/>
    <w:rsid w:val="00067256"/>
    <w:rsid w:val="00265720"/>
    <w:rsid w:val="002C1218"/>
    <w:rsid w:val="002E373B"/>
    <w:rsid w:val="00563F1A"/>
    <w:rsid w:val="00661D4A"/>
    <w:rsid w:val="007409B5"/>
    <w:rsid w:val="00986C85"/>
    <w:rsid w:val="00A55A95"/>
    <w:rsid w:val="00AC7379"/>
    <w:rsid w:val="00B84643"/>
    <w:rsid w:val="00CF77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02F1A"/>
  <w15:chartTrackingRefBased/>
  <w15:docId w15:val="{B2BB9A32-6A6C-4E83-9C34-18DC2FD67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464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8464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8464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8464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8464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846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46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46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46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64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8464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8464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8464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8464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846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46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46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4643"/>
    <w:rPr>
      <w:rFonts w:eastAsiaTheme="majorEastAsia" w:cstheme="majorBidi"/>
      <w:color w:val="272727" w:themeColor="text1" w:themeTint="D8"/>
    </w:rPr>
  </w:style>
  <w:style w:type="paragraph" w:styleId="Title">
    <w:name w:val="Title"/>
    <w:basedOn w:val="Normal"/>
    <w:next w:val="Normal"/>
    <w:link w:val="TitleChar"/>
    <w:uiPriority w:val="10"/>
    <w:qFormat/>
    <w:rsid w:val="00B846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46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46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46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4643"/>
    <w:pPr>
      <w:spacing w:before="160"/>
      <w:jc w:val="center"/>
    </w:pPr>
    <w:rPr>
      <w:i/>
      <w:iCs/>
      <w:color w:val="404040" w:themeColor="text1" w:themeTint="BF"/>
    </w:rPr>
  </w:style>
  <w:style w:type="character" w:customStyle="1" w:styleId="QuoteChar">
    <w:name w:val="Quote Char"/>
    <w:basedOn w:val="DefaultParagraphFont"/>
    <w:link w:val="Quote"/>
    <w:uiPriority w:val="29"/>
    <w:rsid w:val="00B84643"/>
    <w:rPr>
      <w:i/>
      <w:iCs/>
      <w:color w:val="404040" w:themeColor="text1" w:themeTint="BF"/>
    </w:rPr>
  </w:style>
  <w:style w:type="paragraph" w:styleId="ListParagraph">
    <w:name w:val="List Paragraph"/>
    <w:basedOn w:val="Normal"/>
    <w:uiPriority w:val="34"/>
    <w:qFormat/>
    <w:rsid w:val="00B84643"/>
    <w:pPr>
      <w:ind w:left="720"/>
      <w:contextualSpacing/>
    </w:pPr>
  </w:style>
  <w:style w:type="character" w:styleId="IntenseEmphasis">
    <w:name w:val="Intense Emphasis"/>
    <w:basedOn w:val="DefaultParagraphFont"/>
    <w:uiPriority w:val="21"/>
    <w:qFormat/>
    <w:rsid w:val="00B84643"/>
    <w:rPr>
      <w:i/>
      <w:iCs/>
      <w:color w:val="2F5496" w:themeColor="accent1" w:themeShade="BF"/>
    </w:rPr>
  </w:style>
  <w:style w:type="paragraph" w:styleId="IntenseQuote">
    <w:name w:val="Intense Quote"/>
    <w:basedOn w:val="Normal"/>
    <w:next w:val="Normal"/>
    <w:link w:val="IntenseQuoteChar"/>
    <w:uiPriority w:val="30"/>
    <w:qFormat/>
    <w:rsid w:val="00B846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84643"/>
    <w:rPr>
      <w:i/>
      <w:iCs/>
      <w:color w:val="2F5496" w:themeColor="accent1" w:themeShade="BF"/>
    </w:rPr>
  </w:style>
  <w:style w:type="character" w:styleId="IntenseReference">
    <w:name w:val="Intense Reference"/>
    <w:basedOn w:val="DefaultParagraphFont"/>
    <w:uiPriority w:val="32"/>
    <w:qFormat/>
    <w:rsid w:val="00B84643"/>
    <w:rPr>
      <w:b/>
      <w:bCs/>
      <w:smallCaps/>
      <w:color w:val="2F5496" w:themeColor="accent1" w:themeShade="BF"/>
      <w:spacing w:val="5"/>
    </w:rPr>
  </w:style>
  <w:style w:type="paragraph" w:customStyle="1" w:styleId="pb-2">
    <w:name w:val="pb-2"/>
    <w:basedOn w:val="Normal"/>
    <w:rsid w:val="00B8464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661D4A"/>
    <w:rPr>
      <w:color w:val="0563C1" w:themeColor="hyperlink"/>
      <w:u w:val="single"/>
    </w:rPr>
  </w:style>
  <w:style w:type="character" w:styleId="UnresolvedMention">
    <w:name w:val="Unresolved Mention"/>
    <w:basedOn w:val="DefaultParagraphFont"/>
    <w:uiPriority w:val="99"/>
    <w:semiHidden/>
    <w:unhideWhenUsed/>
    <w:rsid w:val="00661D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samuniv202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347</Words>
  <Characters>1979</Characters>
  <Application>Microsoft Office Word</Application>
  <DocSecurity>0</DocSecurity>
  <Lines>16</Lines>
  <Paragraphs>4</Paragraphs>
  <ScaleCrop>false</ScaleCrop>
  <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Prabhakaran Baskar</dc:creator>
  <cp:keywords/>
  <dc:description/>
  <cp:lastModifiedBy>Prabhakaran Baskar</cp:lastModifiedBy>
  <cp:revision>3</cp:revision>
  <dcterms:created xsi:type="dcterms:W3CDTF">2025-11-12T05:53:00Z</dcterms:created>
  <dcterms:modified xsi:type="dcterms:W3CDTF">2025-11-12T05:53:00Z</dcterms:modified>
</cp:coreProperties>
</file>