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4A7EA" w14:textId="77777777" w:rsidR="00FB66E9" w:rsidRDefault="00FB66E9" w:rsidP="00FB66E9">
      <w:pPr>
        <w:spacing w:line="480" w:lineRule="auto"/>
        <w:jc w:val="center"/>
        <w:rPr>
          <w:rFonts w:ascii="Times New Roman" w:hAnsi="Times New Roman" w:cs="Times New Roman"/>
          <w:b/>
          <w:bCs/>
          <w:color w:val="000000"/>
          <w:sz w:val="24"/>
          <w:szCs w:val="24"/>
        </w:rPr>
      </w:pPr>
      <w:r w:rsidRPr="00FB66E9">
        <w:rPr>
          <w:rFonts w:ascii="Times New Roman" w:hAnsi="Times New Roman" w:cs="Times New Roman"/>
          <w:b/>
          <w:bCs/>
          <w:color w:val="000000"/>
          <w:sz w:val="24"/>
          <w:szCs w:val="24"/>
        </w:rPr>
        <w:t>Tailoring Maraging Steel for Defence Applications: A Study on Pulsed CMT-WAAM and Heat Treatment Synergies</w:t>
      </w:r>
    </w:p>
    <w:p w14:paraId="6B3A1F89" w14:textId="77777777" w:rsidR="00FB66E9" w:rsidRDefault="00FB66E9" w:rsidP="00FB66E9">
      <w:pPr>
        <w:pStyle w:val="p1"/>
        <w:jc w:val="both"/>
        <w:rPr>
          <w:rFonts w:ascii="Times New Roman" w:hAnsi="Times New Roman"/>
          <w:b/>
          <w:bCs/>
        </w:rPr>
      </w:pPr>
    </w:p>
    <w:p w14:paraId="2931F82D" w14:textId="6C0AC545" w:rsidR="00FB66E9" w:rsidRPr="00FB66E9" w:rsidRDefault="00FB66E9" w:rsidP="00FB66E9">
      <w:pPr>
        <w:pStyle w:val="p2"/>
        <w:numPr>
          <w:ilvl w:val="0"/>
          <w:numId w:val="1"/>
        </w:numPr>
        <w:jc w:val="center"/>
        <w:rPr>
          <w:rFonts w:ascii="Times New Roman" w:hAnsi="Times New Roman"/>
          <w:b/>
          <w:bCs/>
          <w:sz w:val="24"/>
          <w:szCs w:val="24"/>
        </w:rPr>
      </w:pPr>
      <w:r>
        <w:rPr>
          <w:rFonts w:ascii="Times New Roman" w:hAnsi="Times New Roman"/>
          <w:b/>
          <w:bCs/>
          <w:sz w:val="24"/>
          <w:szCs w:val="24"/>
        </w:rPr>
        <w:t>Manikandan</w:t>
      </w:r>
      <w:r>
        <w:rPr>
          <w:rStyle w:val="s1"/>
          <w:rFonts w:ascii="Times New Roman" w:eastAsiaTheme="majorEastAsia" w:hAnsi="Times New Roman"/>
          <w:b/>
          <w:bCs/>
          <w:sz w:val="24"/>
          <w:szCs w:val="24"/>
          <w:vertAlign w:val="superscript"/>
        </w:rPr>
        <w:t>1</w:t>
      </w:r>
      <w:r>
        <w:rPr>
          <w:rFonts w:ascii="Times New Roman" w:hAnsi="Times New Roman"/>
          <w:b/>
          <w:bCs/>
          <w:i/>
          <w:iCs/>
          <w:sz w:val="22"/>
          <w:szCs w:val="22"/>
        </w:rPr>
        <w:t>,</w:t>
      </w:r>
      <w:r>
        <w:rPr>
          <w:rFonts w:ascii="Times New Roman" w:hAnsi="Times New Roman"/>
          <w:b/>
          <w:bCs/>
          <w:i/>
          <w:iCs/>
          <w:sz w:val="22"/>
          <w:szCs w:val="22"/>
          <w:lang w:val="en-IN"/>
        </w:rPr>
        <w:t xml:space="preserve"> </w:t>
      </w:r>
      <w:proofErr w:type="spellStart"/>
      <w:r>
        <w:rPr>
          <w:rFonts w:ascii="Times New Roman" w:hAnsi="Times New Roman"/>
          <w:b/>
          <w:bCs/>
          <w:sz w:val="24"/>
          <w:szCs w:val="24"/>
        </w:rPr>
        <w:t>M.</w:t>
      </w:r>
      <w:proofErr w:type="gramStart"/>
      <w:r>
        <w:rPr>
          <w:rFonts w:ascii="Times New Roman" w:hAnsi="Times New Roman"/>
          <w:b/>
          <w:bCs/>
          <w:sz w:val="24"/>
          <w:szCs w:val="24"/>
        </w:rPr>
        <w:t>D.Barath</w:t>
      </w:r>
      <w:proofErr w:type="spellEnd"/>
      <w:proofErr w:type="gramEnd"/>
      <w:r>
        <w:rPr>
          <w:rFonts w:ascii="Times New Roman" w:hAnsi="Times New Roman"/>
          <w:b/>
          <w:bCs/>
          <w:sz w:val="24"/>
          <w:szCs w:val="24"/>
        </w:rPr>
        <w:t xml:space="preserve"> Kumar</w:t>
      </w:r>
      <w:r w:rsidR="004958A8" w:rsidRPr="004958A8">
        <w:rPr>
          <w:rFonts w:ascii="Times New Roman" w:hAnsi="Times New Roman"/>
          <w:b/>
          <w:bCs/>
          <w:sz w:val="24"/>
          <w:szCs w:val="24"/>
          <w:vertAlign w:val="superscript"/>
        </w:rPr>
        <w:t>1</w:t>
      </w:r>
      <w:r>
        <w:rPr>
          <w:rFonts w:ascii="Times New Roman" w:hAnsi="Times New Roman"/>
          <w:b/>
          <w:bCs/>
          <w:sz w:val="22"/>
          <w:szCs w:val="22"/>
        </w:rPr>
        <w:t>,</w:t>
      </w:r>
      <w:r w:rsidR="003F04FB">
        <w:rPr>
          <w:rFonts w:ascii="Times New Roman" w:hAnsi="Times New Roman"/>
          <w:b/>
          <w:bCs/>
          <w:sz w:val="22"/>
          <w:szCs w:val="22"/>
        </w:rPr>
        <w:t xml:space="preserve"> Joel Joseph</w:t>
      </w:r>
      <w:proofErr w:type="gramStart"/>
      <w:r w:rsidR="003F04FB" w:rsidRPr="003F04FB">
        <w:rPr>
          <w:rFonts w:ascii="Times New Roman" w:hAnsi="Times New Roman"/>
          <w:b/>
          <w:bCs/>
          <w:sz w:val="22"/>
          <w:szCs w:val="22"/>
          <w:vertAlign w:val="superscript"/>
        </w:rPr>
        <w:t>1</w:t>
      </w:r>
      <w:r w:rsidR="003F04FB">
        <w:rPr>
          <w:rFonts w:ascii="Times New Roman" w:hAnsi="Times New Roman"/>
          <w:b/>
          <w:bCs/>
          <w:sz w:val="22"/>
          <w:szCs w:val="22"/>
        </w:rPr>
        <w:t xml:space="preserve">, </w:t>
      </w:r>
      <w:r>
        <w:rPr>
          <w:rFonts w:ascii="Times New Roman" w:hAnsi="Times New Roman"/>
          <w:b/>
          <w:bCs/>
          <w:sz w:val="22"/>
          <w:szCs w:val="22"/>
          <w:lang w:val="en-IN"/>
        </w:rPr>
        <w:t xml:space="preserve">  </w:t>
      </w:r>
      <w:proofErr w:type="gramEnd"/>
      <w:r>
        <w:rPr>
          <w:rFonts w:ascii="Times New Roman" w:hAnsi="Times New Roman"/>
          <w:b/>
          <w:bCs/>
          <w:sz w:val="24"/>
          <w:szCs w:val="24"/>
        </w:rPr>
        <w:t>N. Arivazhagan</w:t>
      </w:r>
      <w:r>
        <w:rPr>
          <w:rStyle w:val="s1"/>
          <w:rFonts w:ascii="Times New Roman" w:eastAsiaTheme="majorEastAsia" w:hAnsi="Times New Roman"/>
          <w:b/>
          <w:bCs/>
          <w:sz w:val="24"/>
          <w:szCs w:val="24"/>
          <w:vertAlign w:val="superscript"/>
        </w:rPr>
        <w:t>1</w:t>
      </w:r>
    </w:p>
    <w:p w14:paraId="7D0AA252" w14:textId="77777777" w:rsidR="00FB66E9" w:rsidRDefault="00FB66E9" w:rsidP="00FB66E9">
      <w:pPr>
        <w:pStyle w:val="p2"/>
        <w:jc w:val="both"/>
        <w:rPr>
          <w:rFonts w:ascii="Times New Roman" w:hAnsi="Times New Roman"/>
          <w:b/>
          <w:bCs/>
          <w:sz w:val="24"/>
          <w:szCs w:val="24"/>
        </w:rPr>
      </w:pPr>
    </w:p>
    <w:p w14:paraId="1C022B0A" w14:textId="77777777" w:rsidR="00FB66E9" w:rsidRDefault="00FB66E9" w:rsidP="00FB66E9">
      <w:pPr>
        <w:spacing w:line="360" w:lineRule="auto"/>
        <w:jc w:val="both"/>
        <w:rPr>
          <w:rFonts w:ascii="Times New Roman" w:eastAsia="Times New Roman" w:hAnsi="Times New Roman" w:cs="Times New Roman"/>
          <w:i/>
          <w:iCs/>
          <w:color w:val="000000"/>
          <w:sz w:val="22"/>
          <w:szCs w:val="22"/>
        </w:rPr>
      </w:pPr>
      <w:r>
        <w:rPr>
          <w:rFonts w:ascii="Times New Roman" w:eastAsia="Times New Roman" w:hAnsi="Times New Roman" w:cs="Times New Roman"/>
          <w:i/>
          <w:iCs/>
          <w:color w:val="000000"/>
          <w:sz w:val="22"/>
          <w:szCs w:val="22"/>
          <w:vertAlign w:val="superscript"/>
        </w:rPr>
        <w:t>1</w:t>
      </w:r>
      <w:r>
        <w:rPr>
          <w:rFonts w:ascii="Times New Roman" w:eastAsia="Times New Roman" w:hAnsi="Times New Roman" w:cs="Times New Roman"/>
          <w:i/>
          <w:iCs/>
          <w:color w:val="000000"/>
          <w:sz w:val="22"/>
          <w:szCs w:val="22"/>
        </w:rPr>
        <w:t>School of Mechanical Engineering, Vellore Institute of Technology, Vellore 632014, India</w:t>
      </w:r>
    </w:p>
    <w:p w14:paraId="1A39CCDE" w14:textId="3427674B" w:rsidR="00FB66E9" w:rsidRDefault="004958A8" w:rsidP="00FB66E9">
      <w:pPr>
        <w:spacing w:line="360" w:lineRule="auto"/>
        <w:jc w:val="both"/>
        <w:rPr>
          <w:rFonts w:ascii="Times New Roman" w:eastAsia="Times New Roman" w:hAnsi="Times New Roman" w:cs="Times New Roman"/>
          <w:i/>
          <w:iCs/>
          <w:color w:val="000000"/>
          <w:sz w:val="22"/>
          <w:szCs w:val="22"/>
        </w:rPr>
      </w:pPr>
      <w:r>
        <w:rPr>
          <w:rFonts w:ascii="Times New Roman" w:eastAsia="Times New Roman" w:hAnsi="Times New Roman" w:cs="Times New Roman"/>
          <w:i/>
          <w:iCs/>
          <w:color w:val="000000"/>
          <w:sz w:val="22"/>
          <w:szCs w:val="22"/>
          <w:vertAlign w:val="superscript"/>
        </w:rPr>
        <w:t xml:space="preserve"> </w:t>
      </w:r>
    </w:p>
    <w:p w14:paraId="44FC3C83" w14:textId="260A8224" w:rsidR="00FB66E9" w:rsidRDefault="00FB66E9" w:rsidP="00257EC1">
      <w:pPr>
        <w:spacing w:line="360" w:lineRule="auto"/>
        <w:ind w:firstLineChars="100" w:firstLine="201"/>
        <w:jc w:val="center"/>
        <w:rPr>
          <w:rStyle w:val="Hyperlink"/>
          <w:rFonts w:ascii="Times New Roman" w:eastAsia="Times New Roman" w:hAnsi="Times New Roman" w:cs="Times New Roman"/>
        </w:rPr>
      </w:pPr>
      <w:r>
        <w:rPr>
          <w:rStyle w:val="s1"/>
          <w:rFonts w:ascii="Times New Roman" w:eastAsiaTheme="majorEastAsia" w:hAnsi="Times New Roman" w:cs="Times New Roman"/>
          <w:b/>
          <w:bCs/>
          <w:sz w:val="20"/>
          <w:szCs w:val="20"/>
          <w:vertAlign w:val="superscript"/>
        </w:rPr>
        <w:t>*</w:t>
      </w:r>
      <w:r>
        <w:rPr>
          <w:rFonts w:ascii="Times New Roman" w:eastAsia="Times New Roman" w:hAnsi="Times New Roman" w:cs="Times New Roman"/>
          <w:color w:val="000000"/>
        </w:rPr>
        <w:t xml:space="preserve">Corresponding Author: </w:t>
      </w:r>
      <w:hyperlink r:id="rId5" w:history="1">
        <w:r>
          <w:rPr>
            <w:rStyle w:val="Hyperlink"/>
            <w:rFonts w:ascii="Times New Roman" w:eastAsia="Times New Roman" w:hAnsi="Times New Roman" w:cs="Times New Roman"/>
          </w:rPr>
          <w:t>mano.manikandan@gmail.com</w:t>
        </w:r>
      </w:hyperlink>
    </w:p>
    <w:p w14:paraId="4A48F05E" w14:textId="77777777" w:rsidR="00FB66E9" w:rsidRPr="00FB66E9" w:rsidRDefault="00FB66E9" w:rsidP="00FB66E9">
      <w:pPr>
        <w:spacing w:line="360" w:lineRule="auto"/>
        <w:jc w:val="center"/>
        <w:rPr>
          <w:rFonts w:ascii="Times New Roman" w:hAnsi="Times New Roman" w:cs="Times New Roman"/>
          <w:b/>
          <w:bCs/>
          <w:color w:val="000000"/>
          <w:sz w:val="24"/>
          <w:szCs w:val="24"/>
        </w:rPr>
      </w:pPr>
    </w:p>
    <w:p w14:paraId="38997DB6" w14:textId="77777777" w:rsidR="00FB66E9" w:rsidRDefault="00FB66E9" w:rsidP="00FB66E9">
      <w:pPr>
        <w:spacing w:line="360" w:lineRule="auto"/>
        <w:jc w:val="both"/>
        <w:rPr>
          <w:rFonts w:ascii="-webkit-standard" w:hAnsi="-webkit-standard"/>
          <w:color w:val="000000"/>
          <w:sz w:val="27"/>
          <w:szCs w:val="27"/>
        </w:rPr>
      </w:pPr>
    </w:p>
    <w:p w14:paraId="080DAF1E" w14:textId="280A9241" w:rsidR="004001CB" w:rsidRPr="004001CB" w:rsidRDefault="004001CB" w:rsidP="00FB66E9">
      <w:pPr>
        <w:spacing w:line="360" w:lineRule="auto"/>
        <w:jc w:val="both"/>
        <w:rPr>
          <w:rFonts w:ascii="Times New Roman" w:eastAsia="Times New Roman" w:hAnsi="Times New Roman" w:cs="Times New Roman"/>
          <w:b/>
          <w:bCs/>
          <w:sz w:val="24"/>
          <w:szCs w:val="24"/>
        </w:rPr>
      </w:pPr>
      <w:r w:rsidRPr="004001CB">
        <w:rPr>
          <w:rFonts w:ascii="Times New Roman" w:eastAsia="Times New Roman" w:hAnsi="Times New Roman" w:cs="Times New Roman"/>
          <w:b/>
          <w:bCs/>
          <w:sz w:val="24"/>
          <w:szCs w:val="24"/>
        </w:rPr>
        <w:t>ABSTRACT</w:t>
      </w:r>
    </w:p>
    <w:p w14:paraId="3E336C9D" w14:textId="6797C889" w:rsidR="004001CB" w:rsidRDefault="004001CB" w:rsidP="00FB66E9">
      <w:pPr>
        <w:spacing w:line="360" w:lineRule="auto"/>
        <w:jc w:val="both"/>
        <w:rPr>
          <w:rFonts w:ascii="Times New Roman" w:eastAsia="Times New Roman" w:hAnsi="Times New Roman" w:cs="Times New Roman"/>
          <w:sz w:val="24"/>
          <w:szCs w:val="24"/>
        </w:rPr>
      </w:pPr>
      <w:r w:rsidRPr="004001CB">
        <w:rPr>
          <w:rFonts w:ascii="Times New Roman" w:eastAsia="Times New Roman" w:hAnsi="Times New Roman" w:cs="Times New Roman"/>
          <w:sz w:val="24"/>
          <w:szCs w:val="24"/>
        </w:rPr>
        <w:t xml:space="preserve">Maraging steels constitute a category of precipitation-hardened alloys characterised by their remarkable strength and outstanding toughness. This study investigates the impact of several post-processing heat treatments (PPHTs) on the metallurgical and mechanical properties of thin-walled MDN 250 grade maraging steel produced using pulsed cold metal transfer (CMT) wire arc additive manufacturing (WAAM) technique. The assessed PPHTs are Direct Ageing (DA) and </w:t>
      </w:r>
      <w:proofErr w:type="spellStart"/>
      <w:r w:rsidRPr="004001CB">
        <w:rPr>
          <w:rFonts w:ascii="Times New Roman" w:eastAsia="Times New Roman" w:hAnsi="Times New Roman" w:cs="Times New Roman"/>
          <w:sz w:val="24"/>
          <w:szCs w:val="24"/>
        </w:rPr>
        <w:t>Solutionizing</w:t>
      </w:r>
      <w:proofErr w:type="spellEnd"/>
      <w:r w:rsidRPr="004001CB">
        <w:rPr>
          <w:rFonts w:ascii="Times New Roman" w:eastAsia="Times New Roman" w:hAnsi="Times New Roman" w:cs="Times New Roman"/>
          <w:sz w:val="24"/>
          <w:szCs w:val="24"/>
        </w:rPr>
        <w:t xml:space="preserve"> followed by Ageing (SA). Microstructural evaluation indicated the existence of reverted austenite (RA) at cellular borders in both the as-deposited and DA conditions, whereas the SA-treated specimens were predominantly lacking RA. Metallographic analysis of the as-deposited samples revealed elemental segregation—specifically of nickel, molybdenum, and titanium—at the cell borders, facilitating the future development of RA during ageing. The SA treatment shown moderate efficacy in inhibiting this reversal. Electron backscatter diffraction (EBSD) study revealed a significant reduction in grain size and dislocation density in the SA condition relative to the </w:t>
      </w:r>
      <w:r w:rsidR="004E7F27" w:rsidRPr="004001CB">
        <w:rPr>
          <w:rFonts w:ascii="Times New Roman" w:eastAsia="Times New Roman" w:hAnsi="Times New Roman" w:cs="Times New Roman"/>
          <w:sz w:val="24"/>
          <w:szCs w:val="24"/>
        </w:rPr>
        <w:t>as deposited</w:t>
      </w:r>
      <w:r w:rsidRPr="004001CB">
        <w:rPr>
          <w:rFonts w:ascii="Times New Roman" w:eastAsia="Times New Roman" w:hAnsi="Times New Roman" w:cs="Times New Roman"/>
          <w:sz w:val="24"/>
          <w:szCs w:val="24"/>
        </w:rPr>
        <w:t xml:space="preserve"> and DA conditions. The MDN 250 thin wall following SA treatment attained an ultimate tensile strength (UTS) of 1602 MPa, along with significant enhancements in hardness and strength compared to the other conditions. These findings highlight the effectiveness of integrating pulsed CMT with SA treatment to achieve enhanced microstructural integrity and mechanical performance, hence improving the applicability of MDN 250 maraging steel for essential uses in the defence and aerospace industries.</w:t>
      </w:r>
    </w:p>
    <w:p w14:paraId="332B44F8" w14:textId="3283B33B" w:rsidR="00FB66E9" w:rsidRPr="00FB66E9" w:rsidRDefault="00FB66E9" w:rsidP="00FB66E9">
      <w:pPr>
        <w:spacing w:line="360" w:lineRule="auto"/>
        <w:jc w:val="both"/>
        <w:rPr>
          <w:rFonts w:ascii="Times New Roman" w:eastAsia="Times New Roman" w:hAnsi="Times New Roman" w:cs="Times New Roman"/>
          <w:i/>
          <w:iCs/>
          <w:sz w:val="24"/>
          <w:szCs w:val="24"/>
        </w:rPr>
      </w:pPr>
      <w:r w:rsidRPr="00FB66E9">
        <w:rPr>
          <w:rFonts w:ascii="Times New Roman" w:eastAsia="Times New Roman" w:hAnsi="Times New Roman" w:cs="Times New Roman"/>
          <w:b/>
          <w:bCs/>
          <w:i/>
          <w:iCs/>
          <w:sz w:val="24"/>
          <w:szCs w:val="24"/>
        </w:rPr>
        <w:t>Keywords</w:t>
      </w:r>
      <w:r w:rsidRPr="00FB66E9">
        <w:rPr>
          <w:rFonts w:ascii="Times New Roman" w:eastAsia="Times New Roman" w:hAnsi="Times New Roman" w:cs="Times New Roman"/>
          <w:i/>
          <w:iCs/>
          <w:sz w:val="24"/>
          <w:szCs w:val="24"/>
        </w:rPr>
        <w:t xml:space="preserve"> : MDN 250; WAAM; CMT; Additive Manufacturing</w:t>
      </w:r>
    </w:p>
    <w:p w14:paraId="0065DFB9" w14:textId="7F8C935E" w:rsidR="00A52E1E" w:rsidRDefault="00A52E1E" w:rsidP="00A52E1E">
      <w:pPr>
        <w:spacing w:line="360" w:lineRule="auto"/>
        <w:jc w:val="both"/>
        <w:rPr>
          <w:rFonts w:ascii="Times New Roman" w:eastAsia="Times New Roman" w:hAnsi="Times New Roman" w:cs="Times New Roman"/>
          <w:sz w:val="24"/>
          <w:szCs w:val="24"/>
        </w:rPr>
      </w:pPr>
    </w:p>
    <w:p w14:paraId="3F5C4134" w14:textId="4A2F8E1B" w:rsidR="00A52E1E" w:rsidRDefault="00B10942">
      <w:r>
        <w:rPr>
          <w:rFonts w:ascii="Times New Roman" w:eastAsia="Times New Roman" w:hAnsi="Times New Roman" w:cs="Times New Roman"/>
          <w:sz w:val="24"/>
          <w:szCs w:val="24"/>
        </w:rPr>
        <w:t xml:space="preserve"> </w:t>
      </w:r>
    </w:p>
    <w:sectPr w:rsidR="00A52E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webkit-standard">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7CB8DA"/>
    <w:multiLevelType w:val="singleLevel"/>
    <w:tmpl w:val="617CB8DA"/>
    <w:lvl w:ilvl="0">
      <w:start w:val="13"/>
      <w:numFmt w:val="upperLetter"/>
      <w:lvlText w:val="%1."/>
      <w:lvlJc w:val="left"/>
      <w:pPr>
        <w:tabs>
          <w:tab w:val="left" w:pos="312"/>
        </w:tabs>
      </w:pPr>
    </w:lvl>
  </w:abstractNum>
  <w:num w:numId="1" w16cid:durableId="15043904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E1E"/>
    <w:rsid w:val="001B0F58"/>
    <w:rsid w:val="001D1CD9"/>
    <w:rsid w:val="00257EC1"/>
    <w:rsid w:val="00314C7C"/>
    <w:rsid w:val="003F04FB"/>
    <w:rsid w:val="004001CB"/>
    <w:rsid w:val="004958A8"/>
    <w:rsid w:val="004E7F27"/>
    <w:rsid w:val="00533599"/>
    <w:rsid w:val="007C4C44"/>
    <w:rsid w:val="00832C64"/>
    <w:rsid w:val="009C105F"/>
    <w:rsid w:val="00A52E1E"/>
    <w:rsid w:val="00B10942"/>
    <w:rsid w:val="00CA6114"/>
    <w:rsid w:val="00D34F2C"/>
    <w:rsid w:val="00E43B88"/>
    <w:rsid w:val="00FB66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D652D"/>
  <w15:chartTrackingRefBased/>
  <w15:docId w15:val="{6C4ABA85-3471-194A-B86B-52330B6F1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E1E"/>
    <w:pPr>
      <w:spacing w:after="0" w:line="240" w:lineRule="auto"/>
    </w:pPr>
    <w:rPr>
      <w:rFonts w:ascii="Calibri" w:eastAsia="Calibri" w:hAnsi="Calibri" w:cs="Arial"/>
      <w:kern w:val="0"/>
      <w:sz w:val="20"/>
      <w:szCs w:val="20"/>
      <w:lang w:eastAsia="en-IN"/>
      <w14:ligatures w14:val="none"/>
    </w:rPr>
  </w:style>
  <w:style w:type="paragraph" w:styleId="Heading1">
    <w:name w:val="heading 1"/>
    <w:basedOn w:val="Normal"/>
    <w:next w:val="Normal"/>
    <w:link w:val="Heading1Char"/>
    <w:uiPriority w:val="9"/>
    <w:qFormat/>
    <w:rsid w:val="00A52E1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52E1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52E1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52E1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A52E1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A52E1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A52E1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A52E1E"/>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A52E1E"/>
    <w:pPr>
      <w:keepNext/>
      <w:keepLines/>
      <w:spacing w:line="278" w:lineRule="auto"/>
      <w:outlineLvl w:val="8"/>
    </w:pPr>
    <w:rPr>
      <w:rFonts w:asciiTheme="minorHAnsi" w:eastAsiaTheme="majorEastAsia" w:hAnsiTheme="minorHAnsi"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E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2E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2E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2E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52E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52E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2E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2E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2E1E"/>
    <w:rPr>
      <w:rFonts w:eastAsiaTheme="majorEastAsia" w:cstheme="majorBidi"/>
      <w:color w:val="272727" w:themeColor="text1" w:themeTint="D8"/>
    </w:rPr>
  </w:style>
  <w:style w:type="paragraph" w:styleId="Title">
    <w:name w:val="Title"/>
    <w:basedOn w:val="Normal"/>
    <w:next w:val="Normal"/>
    <w:link w:val="TitleChar"/>
    <w:uiPriority w:val="10"/>
    <w:qFormat/>
    <w:rsid w:val="00A52E1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52E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2E1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52E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2E1E"/>
    <w:pPr>
      <w:spacing w:before="160" w:after="160" w:line="278" w:lineRule="auto"/>
      <w:jc w:val="center"/>
    </w:pPr>
    <w:rPr>
      <w:rFonts w:asciiTheme="minorHAnsi" w:eastAsiaTheme="minorHAnsi" w:hAnsiTheme="minorHAnsi" w:cstheme="minorBid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A52E1E"/>
    <w:rPr>
      <w:i/>
      <w:iCs/>
      <w:color w:val="404040" w:themeColor="text1" w:themeTint="BF"/>
    </w:rPr>
  </w:style>
  <w:style w:type="paragraph" w:styleId="ListParagraph">
    <w:name w:val="List Paragraph"/>
    <w:basedOn w:val="Normal"/>
    <w:uiPriority w:val="34"/>
    <w:qFormat/>
    <w:rsid w:val="00A52E1E"/>
    <w:pPr>
      <w:spacing w:after="160" w:line="278" w:lineRule="auto"/>
      <w:ind w:left="720"/>
      <w:contextualSpacing/>
    </w:pPr>
    <w:rPr>
      <w:rFonts w:asciiTheme="minorHAnsi" w:eastAsiaTheme="minorHAnsi" w:hAnsiTheme="minorHAnsi" w:cstheme="minorBidi"/>
      <w:kern w:val="2"/>
      <w:sz w:val="24"/>
      <w:szCs w:val="24"/>
      <w:lang w:eastAsia="en-US"/>
      <w14:ligatures w14:val="standardContextual"/>
    </w:rPr>
  </w:style>
  <w:style w:type="character" w:styleId="IntenseEmphasis">
    <w:name w:val="Intense Emphasis"/>
    <w:basedOn w:val="DefaultParagraphFont"/>
    <w:uiPriority w:val="21"/>
    <w:qFormat/>
    <w:rsid w:val="00A52E1E"/>
    <w:rPr>
      <w:i/>
      <w:iCs/>
      <w:color w:val="0F4761" w:themeColor="accent1" w:themeShade="BF"/>
    </w:rPr>
  </w:style>
  <w:style w:type="paragraph" w:styleId="IntenseQuote">
    <w:name w:val="Intense Quote"/>
    <w:basedOn w:val="Normal"/>
    <w:next w:val="Normal"/>
    <w:link w:val="IntenseQuoteChar"/>
    <w:uiPriority w:val="30"/>
    <w:qFormat/>
    <w:rsid w:val="00A52E1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A52E1E"/>
    <w:rPr>
      <w:i/>
      <w:iCs/>
      <w:color w:val="0F4761" w:themeColor="accent1" w:themeShade="BF"/>
    </w:rPr>
  </w:style>
  <w:style w:type="character" w:styleId="IntenseReference">
    <w:name w:val="Intense Reference"/>
    <w:basedOn w:val="DefaultParagraphFont"/>
    <w:uiPriority w:val="32"/>
    <w:qFormat/>
    <w:rsid w:val="00A52E1E"/>
    <w:rPr>
      <w:b/>
      <w:bCs/>
      <w:smallCaps/>
      <w:color w:val="0F4761" w:themeColor="accent1" w:themeShade="BF"/>
      <w:spacing w:val="5"/>
    </w:rPr>
  </w:style>
  <w:style w:type="character" w:styleId="Hyperlink">
    <w:name w:val="Hyperlink"/>
    <w:basedOn w:val="DefaultParagraphFont"/>
    <w:uiPriority w:val="99"/>
    <w:unhideWhenUsed/>
    <w:qFormat/>
    <w:rsid w:val="00FB66E9"/>
    <w:rPr>
      <w:color w:val="467886" w:themeColor="hyperlink"/>
      <w:u w:val="single"/>
    </w:rPr>
  </w:style>
  <w:style w:type="paragraph" w:customStyle="1" w:styleId="p1">
    <w:name w:val="p1"/>
    <w:basedOn w:val="Normal"/>
    <w:qFormat/>
    <w:rsid w:val="00FB66E9"/>
    <w:rPr>
      <w:rFonts w:ascii="Helvetica" w:eastAsia="Times New Roman" w:hAnsi="Helvetica" w:cs="Times New Roman"/>
      <w:color w:val="000000"/>
      <w:sz w:val="24"/>
      <w:szCs w:val="24"/>
      <w:lang w:val="en-US" w:eastAsia="en-US"/>
    </w:rPr>
  </w:style>
  <w:style w:type="paragraph" w:customStyle="1" w:styleId="p2">
    <w:name w:val="p2"/>
    <w:basedOn w:val="Normal"/>
    <w:qFormat/>
    <w:rsid w:val="00FB66E9"/>
    <w:rPr>
      <w:rFonts w:ascii="Helvetica" w:eastAsia="Times New Roman" w:hAnsi="Helvetica" w:cs="Times New Roman"/>
      <w:color w:val="000000"/>
      <w:sz w:val="15"/>
      <w:szCs w:val="15"/>
      <w:lang w:val="en-US" w:eastAsia="en-US"/>
    </w:rPr>
  </w:style>
  <w:style w:type="character" w:customStyle="1" w:styleId="s1">
    <w:name w:val="s1"/>
    <w:basedOn w:val="DefaultParagraphFont"/>
    <w:qFormat/>
    <w:rsid w:val="00FB66E9"/>
    <w:rPr>
      <w:rFonts w:ascii="Helvetica" w:hAnsi="Helvetica" w:hint="default"/>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70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ano.manikanda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310</Words>
  <Characters>1770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Barath Kumar MD</dc:creator>
  <cp:keywords/>
  <dc:description/>
  <cp:lastModifiedBy>Manikandan  M</cp:lastModifiedBy>
  <cp:revision>4</cp:revision>
  <dcterms:created xsi:type="dcterms:W3CDTF">2025-07-17T05:19:00Z</dcterms:created>
  <dcterms:modified xsi:type="dcterms:W3CDTF">2025-11-15T09:49:00Z</dcterms:modified>
</cp:coreProperties>
</file>