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284C62" w14:textId="0828E365" w:rsidR="00E17283" w:rsidRPr="00283637" w:rsidRDefault="00E17283" w:rsidP="00F8584F">
      <w:pPr>
        <w:jc w:val="center"/>
        <w:rPr>
          <w:rFonts w:ascii="Arial" w:hAnsi="Arial" w:cs="Arial"/>
          <w:b/>
          <w:bCs/>
        </w:rPr>
      </w:pPr>
      <w:r w:rsidRPr="00283637">
        <w:rPr>
          <w:rFonts w:ascii="Arial" w:hAnsi="Arial" w:cs="Arial"/>
          <w:b/>
          <w:bCs/>
        </w:rPr>
        <w:t>Optimizing Outer Hull Fabrication in Shipbuilding: A Strategy for Enhanced Welding Automation and Workflow Efficiency</w:t>
      </w:r>
    </w:p>
    <w:p w14:paraId="38D35765" w14:textId="55B886AB" w:rsidR="00F8584F" w:rsidRPr="00283637" w:rsidRDefault="00F8584F" w:rsidP="00F8584F">
      <w:pPr>
        <w:jc w:val="center"/>
        <w:rPr>
          <w:rFonts w:ascii="Arial" w:hAnsi="Arial" w:cs="Arial"/>
          <w:b/>
          <w:vertAlign w:val="superscript"/>
        </w:rPr>
      </w:pPr>
      <w:r w:rsidRPr="00283637">
        <w:rPr>
          <w:rFonts w:ascii="Arial" w:hAnsi="Arial" w:cs="Arial"/>
          <w:b/>
        </w:rPr>
        <w:t>Parthkumar Sapariya</w:t>
      </w:r>
      <w:r w:rsidRPr="00283637">
        <w:rPr>
          <w:rFonts w:ascii="Arial" w:hAnsi="Arial" w:cs="Arial"/>
          <w:b/>
          <w:vertAlign w:val="superscript"/>
        </w:rPr>
        <w:t>a</w:t>
      </w:r>
      <w:r w:rsidRPr="00283637">
        <w:rPr>
          <w:rFonts w:ascii="Arial" w:hAnsi="Arial" w:cs="Arial"/>
          <w:b/>
        </w:rPr>
        <w:t>, Avinash Pandey</w:t>
      </w:r>
      <w:r w:rsidRPr="00283637">
        <w:rPr>
          <w:rFonts w:ascii="Arial" w:hAnsi="Arial" w:cs="Arial"/>
          <w:b/>
          <w:vertAlign w:val="superscript"/>
        </w:rPr>
        <w:t>b</w:t>
      </w:r>
      <w:r w:rsidRPr="00283637">
        <w:rPr>
          <w:rFonts w:ascii="Arial" w:hAnsi="Arial" w:cs="Arial"/>
          <w:b/>
        </w:rPr>
        <w:t>, B Kiran Kumar</w:t>
      </w:r>
      <w:r w:rsidRPr="00283637">
        <w:rPr>
          <w:rFonts w:ascii="Arial" w:hAnsi="Arial" w:cs="Arial"/>
          <w:b/>
          <w:vertAlign w:val="superscript"/>
        </w:rPr>
        <w:t>c</w:t>
      </w:r>
    </w:p>
    <w:p w14:paraId="1ECC84E1" w14:textId="77777777" w:rsidR="00F8584F" w:rsidRPr="00283637" w:rsidRDefault="00F8584F" w:rsidP="00F8584F">
      <w:pPr>
        <w:jc w:val="center"/>
        <w:rPr>
          <w:rFonts w:ascii="Arial" w:hAnsi="Arial" w:cs="Arial"/>
          <w:b/>
        </w:rPr>
      </w:pPr>
      <w:r w:rsidRPr="00283637">
        <w:rPr>
          <w:rFonts w:ascii="Arial" w:hAnsi="Arial" w:cs="Arial"/>
          <w:b/>
          <w:vertAlign w:val="superscript"/>
        </w:rPr>
        <w:t xml:space="preserve">a,b,c </w:t>
      </w:r>
      <w:r w:rsidRPr="00283637">
        <w:rPr>
          <w:rFonts w:ascii="Arial" w:hAnsi="Arial" w:cs="Arial"/>
          <w:b/>
        </w:rPr>
        <w:t>Larsen &amp; Toubro Limited, Visakhapatnam, 530014, India.</w:t>
      </w:r>
    </w:p>
    <w:p w14:paraId="27126549" w14:textId="77777777" w:rsidR="00F8584F" w:rsidRPr="00283637" w:rsidRDefault="00F8584F" w:rsidP="00F8584F">
      <w:pPr>
        <w:spacing w:after="0" w:line="240" w:lineRule="auto"/>
        <w:jc w:val="center"/>
        <w:rPr>
          <w:rFonts w:ascii="Arial" w:hAnsi="Arial" w:cs="Arial"/>
          <w:color w:val="A02B93" w:themeColor="accent5"/>
        </w:rPr>
      </w:pPr>
      <w:r w:rsidRPr="00283637">
        <w:rPr>
          <w:rFonts w:ascii="Arial" w:hAnsi="Arial" w:cs="Arial"/>
          <w:b/>
        </w:rPr>
        <w:t>Email:</w:t>
      </w:r>
      <w:r w:rsidRPr="00283637">
        <w:rPr>
          <w:rFonts w:ascii="Arial" w:hAnsi="Arial" w:cs="Arial"/>
          <w:b/>
          <w:color w:val="A02B93" w:themeColor="accent5"/>
        </w:rPr>
        <w:t xml:space="preserve"> </w:t>
      </w:r>
      <w:r w:rsidRPr="00283637">
        <w:rPr>
          <w:rStyle w:val="Hyperlink"/>
          <w:rFonts w:ascii="Arial" w:hAnsi="Arial" w:cs="Arial"/>
          <w:b/>
          <w:color w:val="A02B93" w:themeColor="accent5"/>
        </w:rPr>
        <w:t xml:space="preserve">parthkumar.sapariya@larsentoubro.com, </w:t>
      </w:r>
    </w:p>
    <w:p w14:paraId="07C4682E" w14:textId="381F9551" w:rsidR="00F8584F" w:rsidRPr="00283637" w:rsidRDefault="00283637" w:rsidP="00F8584F">
      <w:pPr>
        <w:spacing w:after="0" w:line="240" w:lineRule="auto"/>
        <w:jc w:val="center"/>
        <w:rPr>
          <w:rStyle w:val="Hyperlink"/>
          <w:rFonts w:ascii="Arial" w:hAnsi="Arial" w:cs="Arial"/>
          <w:b/>
          <w:color w:val="A02B93" w:themeColor="accent5"/>
        </w:rPr>
      </w:pPr>
      <w:r w:rsidRPr="00283637">
        <w:rPr>
          <w:rStyle w:val="Hyperlink"/>
          <w:rFonts w:ascii="Arial" w:hAnsi="Arial" w:cs="Arial"/>
          <w:b/>
          <w:color w:val="A02B93" w:themeColor="accent5"/>
        </w:rPr>
        <w:t>avinash.pandey2</w:t>
      </w:r>
      <w:r w:rsidR="00F8584F" w:rsidRPr="00283637">
        <w:rPr>
          <w:rStyle w:val="Hyperlink"/>
          <w:rFonts w:ascii="Arial" w:hAnsi="Arial" w:cs="Arial"/>
          <w:b/>
          <w:color w:val="A02B93" w:themeColor="accent5"/>
        </w:rPr>
        <w:t>@larsentoubro.com</w:t>
      </w:r>
    </w:p>
    <w:p w14:paraId="14DD6B34" w14:textId="77777777" w:rsidR="00F8584F" w:rsidRPr="00283637" w:rsidRDefault="00F8584F" w:rsidP="00F8584F">
      <w:pPr>
        <w:jc w:val="center"/>
        <w:rPr>
          <w:rFonts w:ascii="Arial" w:hAnsi="Arial" w:cs="Arial"/>
          <w:color w:val="A02B93" w:themeColor="accent5"/>
        </w:rPr>
      </w:pPr>
      <w:r w:rsidRPr="00283637">
        <w:rPr>
          <w:rStyle w:val="Hyperlink"/>
          <w:rFonts w:ascii="Arial" w:hAnsi="Arial" w:cs="Arial"/>
          <w:b/>
          <w:color w:val="A02B93" w:themeColor="accent5"/>
        </w:rPr>
        <w:t>kiran.kumar@larsentoubro.com</w:t>
      </w:r>
    </w:p>
    <w:p w14:paraId="0C1B7FB9" w14:textId="77777777" w:rsidR="00283637" w:rsidRDefault="00283637" w:rsidP="00283637">
      <w:pPr>
        <w:jc w:val="center"/>
        <w:rPr>
          <w:rFonts w:ascii="Arial" w:hAnsi="Arial" w:cs="Arial"/>
          <w:b/>
          <w:szCs w:val="20"/>
        </w:rPr>
      </w:pPr>
    </w:p>
    <w:p w14:paraId="0237FC36" w14:textId="597F84EE" w:rsidR="00F8584F" w:rsidRPr="00283637" w:rsidRDefault="00283637" w:rsidP="00283637">
      <w:pPr>
        <w:jc w:val="center"/>
        <w:rPr>
          <w:rFonts w:ascii="Arial" w:hAnsi="Arial" w:cs="Arial"/>
          <w:b/>
          <w:szCs w:val="20"/>
        </w:rPr>
      </w:pPr>
      <w:r w:rsidRPr="00C0416A">
        <w:rPr>
          <w:rFonts w:ascii="Arial" w:hAnsi="Arial" w:cs="Arial"/>
          <w:b/>
          <w:szCs w:val="20"/>
        </w:rPr>
        <w:t>ABSTRACT</w:t>
      </w:r>
    </w:p>
    <w:p w14:paraId="631A9D25" w14:textId="7ECAC486" w:rsidR="006C7196" w:rsidRPr="00283637" w:rsidRDefault="006C7196" w:rsidP="00F8584F">
      <w:pPr>
        <w:jc w:val="both"/>
        <w:rPr>
          <w:rFonts w:ascii="Arial" w:hAnsi="Arial" w:cs="Arial"/>
        </w:rPr>
      </w:pPr>
      <w:r w:rsidRPr="00283637">
        <w:rPr>
          <w:rFonts w:ascii="Arial" w:hAnsi="Arial" w:cs="Arial"/>
        </w:rPr>
        <w:t>Modern Ship structures comprise of Complex &amp; composite systems integrated with modules such as double bottoms, bulkheads, and decks, all contributing to overall stability and integrity. Central to this construction, the Outer Hull (OH) acts as the principal load-bearing envelope, securing water-tightness and providing an optimized hydrodynamic profile for propulsion. Fabrication of this OH Panel typically utilizes steel plates ranging from 8 to 26 mm thickness, strengthened by longitudinal stiffeners and frame brackets which are extensively welded to form large, rigid assemblies. This fabrication process poses significant difficulties due to extensive weld seams across complex geometrical profiles, restricted areas for welders, and a reliance on a pool of highly skilled workers.</w:t>
      </w:r>
    </w:p>
    <w:p w14:paraId="5EC8002F" w14:textId="70300084" w:rsidR="00663A9B" w:rsidRPr="00663A9B" w:rsidRDefault="006C7196" w:rsidP="00F8584F">
      <w:pPr>
        <w:jc w:val="both"/>
        <w:rPr>
          <w:rFonts w:ascii="Arial" w:hAnsi="Arial" w:cs="Arial"/>
          <w:lang w:val="en-US"/>
        </w:rPr>
      </w:pPr>
      <w:r w:rsidRPr="006C7196">
        <w:rPr>
          <w:rFonts w:ascii="Arial" w:hAnsi="Arial" w:cs="Arial"/>
          <w:lang w:val="en-US"/>
        </w:rPr>
        <w:t xml:space="preserve">The </w:t>
      </w:r>
      <w:r w:rsidRPr="00283637">
        <w:rPr>
          <w:rFonts w:ascii="Arial" w:hAnsi="Arial" w:cs="Arial"/>
          <w:lang w:val="en-US"/>
        </w:rPr>
        <w:t>OH</w:t>
      </w:r>
      <w:r w:rsidRPr="006C7196">
        <w:rPr>
          <w:rFonts w:ascii="Arial" w:hAnsi="Arial" w:cs="Arial"/>
          <w:lang w:val="en-US"/>
        </w:rPr>
        <w:t xml:space="preserve"> panel manufacturing sequence is comprehensive, involving plate cutting, rolling, sub-assembly</w:t>
      </w:r>
      <w:r w:rsidRPr="00283637">
        <w:rPr>
          <w:rFonts w:ascii="Arial" w:hAnsi="Arial" w:cs="Arial"/>
          <w:lang w:val="en-US"/>
        </w:rPr>
        <w:t xml:space="preserve"> followed by</w:t>
      </w:r>
      <w:r w:rsidRPr="006C7196">
        <w:rPr>
          <w:rFonts w:ascii="Arial" w:hAnsi="Arial" w:cs="Arial"/>
          <w:lang w:val="en-US"/>
        </w:rPr>
        <w:t xml:space="preserve"> final carcass formation.</w:t>
      </w:r>
      <w:r w:rsidRPr="00283637">
        <w:rPr>
          <w:rFonts w:ascii="Arial" w:hAnsi="Arial" w:cs="Arial"/>
          <w:lang w:val="en-US"/>
        </w:rPr>
        <w:t xml:space="preserve"> Out of all the processes, </w:t>
      </w:r>
      <w:r w:rsidR="00663A9B" w:rsidRPr="00283637">
        <w:rPr>
          <w:rFonts w:ascii="Arial" w:hAnsi="Arial" w:cs="Arial"/>
          <w:lang w:val="en-US"/>
        </w:rPr>
        <w:t xml:space="preserve">data reveals that </w:t>
      </w:r>
      <w:r w:rsidR="00663A9B" w:rsidRPr="00283637">
        <w:rPr>
          <w:rFonts w:ascii="Arial" w:hAnsi="Arial" w:cs="Arial"/>
          <w:b/>
          <w:bCs/>
          <w:lang w:val="en-US"/>
        </w:rPr>
        <w:t>welding remains the singular critical bottleneck</w:t>
      </w:r>
      <w:r w:rsidR="00663A9B" w:rsidRPr="00283637">
        <w:rPr>
          <w:rFonts w:ascii="Arial" w:hAnsi="Arial" w:cs="Arial"/>
          <w:lang w:val="en-US"/>
        </w:rPr>
        <w:t xml:space="preserve">, directly dictating project schedules. In a typical OH panel section, </w:t>
      </w:r>
      <w:r w:rsidRPr="00283637">
        <w:rPr>
          <w:rFonts w:ascii="Arial" w:hAnsi="Arial" w:cs="Arial"/>
        </w:rPr>
        <w:t>sub-assemblies account for nearly 65% and assemblies 35% of fabrication workload.</w:t>
      </w:r>
      <w:r w:rsidR="00663A9B" w:rsidRPr="00283637">
        <w:rPr>
          <w:rFonts w:ascii="Arial" w:hAnsi="Arial" w:cs="Arial"/>
        </w:rPr>
        <w:t xml:space="preserve"> </w:t>
      </w:r>
      <w:r w:rsidR="00663A9B" w:rsidRPr="008D5A1D">
        <w:rPr>
          <w:rFonts w:ascii="Arial" w:hAnsi="Arial" w:cs="Arial"/>
          <w:lang w:val="en-US"/>
        </w:rPr>
        <w:t>The dominant weld types are:</w:t>
      </w:r>
    </w:p>
    <w:p w14:paraId="7BB2423F" w14:textId="77777777" w:rsidR="00663A9B" w:rsidRPr="008D5A1D" w:rsidRDefault="00663A9B" w:rsidP="00F8584F">
      <w:pPr>
        <w:numPr>
          <w:ilvl w:val="0"/>
          <w:numId w:val="1"/>
        </w:numPr>
        <w:jc w:val="both"/>
        <w:rPr>
          <w:rFonts w:ascii="Arial" w:hAnsi="Arial" w:cs="Arial"/>
          <w:lang w:val="en-US"/>
        </w:rPr>
      </w:pPr>
      <w:r w:rsidRPr="008D5A1D">
        <w:rPr>
          <w:rFonts w:ascii="Arial" w:hAnsi="Arial" w:cs="Arial"/>
          <w:b/>
          <w:bCs/>
          <w:lang w:val="en-US"/>
        </w:rPr>
        <w:t>T-Joints (Stiffener/Web to Plate):</w:t>
      </w:r>
      <w:r w:rsidRPr="008D5A1D">
        <w:rPr>
          <w:rFonts w:ascii="Arial" w:hAnsi="Arial" w:cs="Arial"/>
          <w:lang w:val="en-US"/>
        </w:rPr>
        <w:t xml:space="preserve"> 45% - 55%</w:t>
      </w:r>
    </w:p>
    <w:p w14:paraId="00A46626" w14:textId="25CD0A7A" w:rsidR="00663A9B" w:rsidRPr="008D5A1D" w:rsidRDefault="00663A9B" w:rsidP="00F8584F">
      <w:pPr>
        <w:numPr>
          <w:ilvl w:val="0"/>
          <w:numId w:val="1"/>
        </w:numPr>
        <w:jc w:val="both"/>
        <w:rPr>
          <w:rFonts w:ascii="Arial" w:hAnsi="Arial" w:cs="Arial"/>
          <w:lang w:val="en-US"/>
        </w:rPr>
      </w:pPr>
      <w:r w:rsidRPr="008D5A1D">
        <w:rPr>
          <w:rFonts w:ascii="Arial" w:hAnsi="Arial" w:cs="Arial"/>
          <w:b/>
          <w:bCs/>
          <w:lang w:val="en-US"/>
        </w:rPr>
        <w:t>Butt Joints (Plate-to-Plate</w:t>
      </w:r>
      <w:r w:rsidR="00EF3F67">
        <w:rPr>
          <w:rFonts w:ascii="Arial" w:hAnsi="Arial" w:cs="Arial"/>
          <w:b/>
          <w:bCs/>
          <w:lang w:val="en-US"/>
        </w:rPr>
        <w:t xml:space="preserve"> joints</w:t>
      </w:r>
      <w:r w:rsidRPr="008D5A1D">
        <w:rPr>
          <w:rFonts w:ascii="Arial" w:hAnsi="Arial" w:cs="Arial"/>
          <w:b/>
          <w:bCs/>
          <w:lang w:val="en-US"/>
        </w:rPr>
        <w:t>):</w:t>
      </w:r>
      <w:r w:rsidRPr="008D5A1D">
        <w:rPr>
          <w:rFonts w:ascii="Arial" w:hAnsi="Arial" w:cs="Arial"/>
          <w:lang w:val="en-US"/>
        </w:rPr>
        <w:t xml:space="preserve"> 30% - 40%</w:t>
      </w:r>
    </w:p>
    <w:p w14:paraId="3DEF772D" w14:textId="5985613B" w:rsidR="00663A9B" w:rsidRPr="00283637" w:rsidRDefault="00663A9B" w:rsidP="00F8584F">
      <w:pPr>
        <w:numPr>
          <w:ilvl w:val="0"/>
          <w:numId w:val="1"/>
        </w:numPr>
        <w:jc w:val="both"/>
        <w:rPr>
          <w:rFonts w:ascii="Arial" w:hAnsi="Arial" w:cs="Arial"/>
          <w:lang w:val="en-US"/>
        </w:rPr>
      </w:pPr>
      <w:r w:rsidRPr="008D5A1D">
        <w:rPr>
          <w:rFonts w:ascii="Arial" w:hAnsi="Arial" w:cs="Arial"/>
          <w:b/>
          <w:bCs/>
          <w:lang w:val="en-US"/>
        </w:rPr>
        <w:t>Complex Profiled Joints (</w:t>
      </w:r>
      <w:r w:rsidR="00EF3F67">
        <w:rPr>
          <w:rFonts w:ascii="Arial" w:hAnsi="Arial" w:cs="Arial"/>
          <w:b/>
          <w:bCs/>
          <w:lang w:val="en-US"/>
        </w:rPr>
        <w:t>Curved joints, Corner joints</w:t>
      </w:r>
      <w:r w:rsidRPr="008D5A1D">
        <w:rPr>
          <w:rFonts w:ascii="Arial" w:hAnsi="Arial" w:cs="Arial"/>
          <w:b/>
          <w:bCs/>
          <w:lang w:val="en-US"/>
        </w:rPr>
        <w:t>):</w:t>
      </w:r>
      <w:r w:rsidRPr="008D5A1D">
        <w:rPr>
          <w:rFonts w:ascii="Arial" w:hAnsi="Arial" w:cs="Arial"/>
          <w:lang w:val="en-US"/>
        </w:rPr>
        <w:t xml:space="preserve"> 10% - 15%</w:t>
      </w:r>
    </w:p>
    <w:p w14:paraId="5A1583C6" w14:textId="5FCF6E44" w:rsidR="00F8584F" w:rsidRPr="00283637" w:rsidRDefault="00F8584F" w:rsidP="00F8584F">
      <w:pPr>
        <w:jc w:val="both"/>
        <w:rPr>
          <w:rFonts w:ascii="Arial" w:hAnsi="Arial" w:cs="Arial"/>
        </w:rPr>
      </w:pPr>
      <w:r w:rsidRPr="00283637">
        <w:rPr>
          <w:rFonts w:ascii="Arial" w:hAnsi="Arial" w:cs="Arial"/>
        </w:rPr>
        <w:t xml:space="preserve">Stringent Quality requirements for these joints lead to frequent schedule overruns, highlighting the need for workflow innovation in welding. </w:t>
      </w:r>
    </w:p>
    <w:p w14:paraId="2667FB89" w14:textId="1DCAFBF4" w:rsidR="00F8584F" w:rsidRPr="00283637" w:rsidRDefault="00F8584F" w:rsidP="00F8584F">
      <w:pPr>
        <w:jc w:val="both"/>
        <w:rPr>
          <w:rFonts w:ascii="Arial" w:hAnsi="Arial" w:cs="Arial"/>
        </w:rPr>
      </w:pPr>
      <w:r w:rsidRPr="00283637">
        <w:rPr>
          <w:rFonts w:ascii="Arial" w:hAnsi="Arial" w:cs="Arial"/>
        </w:rPr>
        <w:t xml:space="preserve">This case-study paper demonstrates a planning for integrating advanced automation and track-based welding systems focused on high-impact joint categories: butt joints, T-stiffener welds, and complex sub-assemblies. This approach aims to achieve </w:t>
      </w:r>
      <w:r w:rsidRPr="00283637">
        <w:rPr>
          <w:rFonts w:ascii="Arial" w:hAnsi="Arial" w:cs="Arial"/>
          <w:b/>
          <w:bCs/>
        </w:rPr>
        <w:t>Process Stability</w:t>
      </w:r>
      <w:r w:rsidRPr="00283637">
        <w:rPr>
          <w:rFonts w:ascii="Arial" w:hAnsi="Arial" w:cs="Arial"/>
        </w:rPr>
        <w:t xml:space="preserve"> and </w:t>
      </w:r>
      <w:r w:rsidRPr="00283637">
        <w:rPr>
          <w:rFonts w:ascii="Arial" w:hAnsi="Arial" w:cs="Arial"/>
          <w:b/>
          <w:bCs/>
        </w:rPr>
        <w:t>Weld Quality Consistency</w:t>
      </w:r>
      <w:r w:rsidRPr="00283637">
        <w:rPr>
          <w:rFonts w:ascii="Arial" w:hAnsi="Arial" w:cs="Arial"/>
        </w:rPr>
        <w:t xml:space="preserve"> compared to conventional manual welding </w:t>
      </w:r>
      <w:r w:rsidRPr="00283637">
        <w:rPr>
          <w:rFonts w:ascii="Arial" w:hAnsi="Arial" w:cs="Arial"/>
        </w:rPr>
        <w:tab/>
        <w:t>techniques.</w:t>
      </w:r>
    </w:p>
    <w:p w14:paraId="62813448" w14:textId="4E9CA669" w:rsidR="00F8584F" w:rsidRPr="00F8584F" w:rsidRDefault="00F8584F" w:rsidP="00F8584F">
      <w:pPr>
        <w:jc w:val="both"/>
        <w:rPr>
          <w:rFonts w:ascii="Arial" w:hAnsi="Arial" w:cs="Arial"/>
          <w:lang w:val="en-US"/>
        </w:rPr>
      </w:pPr>
      <w:r w:rsidRPr="00F8584F">
        <w:rPr>
          <w:rFonts w:ascii="Arial" w:hAnsi="Arial" w:cs="Arial"/>
          <w:lang w:val="en-US"/>
        </w:rPr>
        <w:t>The application of mechanized welding solutions and optimized workflow</w:t>
      </w:r>
      <w:r w:rsidRPr="00283637">
        <w:rPr>
          <w:rFonts w:ascii="Arial" w:hAnsi="Arial" w:cs="Arial"/>
          <w:lang w:val="en-US"/>
        </w:rPr>
        <w:t xml:space="preserve"> </w:t>
      </w:r>
      <w:r w:rsidRPr="00F8584F">
        <w:rPr>
          <w:rFonts w:ascii="Arial" w:hAnsi="Arial" w:cs="Arial"/>
          <w:lang w:val="en-US"/>
        </w:rPr>
        <w:t xml:space="preserve">is projected to realize a notable </w:t>
      </w:r>
      <w:r w:rsidRPr="00F8584F">
        <w:rPr>
          <w:rFonts w:ascii="Arial" w:hAnsi="Arial" w:cs="Arial"/>
          <w:b/>
          <w:bCs/>
          <w:lang w:val="en-US"/>
        </w:rPr>
        <w:t>40% - 50</w:t>
      </w:r>
      <w:r w:rsidRPr="00283637">
        <w:rPr>
          <w:rFonts w:ascii="Arial" w:hAnsi="Arial" w:cs="Arial"/>
          <w:b/>
          <w:bCs/>
          <w:lang w:val="en-US"/>
        </w:rPr>
        <w:t>%</w:t>
      </w:r>
      <w:r w:rsidRPr="00F8584F">
        <w:rPr>
          <w:rFonts w:ascii="Arial" w:hAnsi="Arial" w:cs="Arial"/>
          <w:b/>
          <w:bCs/>
          <w:lang w:val="en-US"/>
        </w:rPr>
        <w:t xml:space="preserve"> efficiency gain</w:t>
      </w:r>
      <w:r w:rsidRPr="00F8584F">
        <w:rPr>
          <w:rFonts w:ascii="Arial" w:hAnsi="Arial" w:cs="Arial"/>
          <w:lang w:val="en-US"/>
        </w:rPr>
        <w:t xml:space="preserve"> in the </w:t>
      </w:r>
      <w:r w:rsidRPr="00283637">
        <w:rPr>
          <w:rFonts w:ascii="Arial" w:hAnsi="Arial" w:cs="Arial"/>
          <w:lang w:val="en-US"/>
        </w:rPr>
        <w:t>OH</w:t>
      </w:r>
      <w:r w:rsidRPr="00F8584F">
        <w:rPr>
          <w:rFonts w:ascii="Arial" w:hAnsi="Arial" w:cs="Arial"/>
          <w:lang w:val="en-US"/>
        </w:rPr>
        <w:t xml:space="preserve"> panel fabrication cycle. This study contributes a vital, quantified framework for achieving production acceleration, strategically addressing the challenge of welder scarcity, and guaranteeing the sustained operational reliability and high structural integrity essential for modern </w:t>
      </w:r>
      <w:r w:rsidR="00EF3F67">
        <w:rPr>
          <w:rFonts w:ascii="Arial" w:hAnsi="Arial" w:cs="Arial"/>
          <w:lang w:val="en-US"/>
        </w:rPr>
        <w:t>S</w:t>
      </w:r>
      <w:r w:rsidRPr="00F8584F">
        <w:rPr>
          <w:rFonts w:ascii="Arial" w:hAnsi="Arial" w:cs="Arial"/>
          <w:lang w:val="en-US"/>
        </w:rPr>
        <w:t>hipbuilding programs.</w:t>
      </w:r>
    </w:p>
    <w:p w14:paraId="3D1E58DE" w14:textId="2A02A190" w:rsidR="006C7196" w:rsidRPr="00E17283" w:rsidRDefault="00283637" w:rsidP="00283637">
      <w:pPr>
        <w:spacing w:after="0"/>
        <w:jc w:val="both"/>
        <w:rPr>
          <w:rFonts w:ascii="Calibri" w:hAnsi="Calibri" w:cs="Calibri"/>
          <w:sz w:val="28"/>
          <w:szCs w:val="28"/>
          <w:lang w:val="en-US"/>
        </w:rPr>
      </w:pPr>
      <w:r w:rsidRPr="00C0416A">
        <w:rPr>
          <w:rFonts w:ascii="Arial" w:hAnsi="Arial" w:cs="Arial"/>
          <w:b/>
          <w:color w:val="000000" w:themeColor="text1"/>
        </w:rPr>
        <w:t>Keywords:</w:t>
      </w:r>
      <w:r w:rsidRPr="00C0416A">
        <w:rPr>
          <w:rFonts w:ascii="Arial" w:hAnsi="Arial" w:cs="Arial"/>
          <w:color w:val="000000" w:themeColor="text1"/>
        </w:rPr>
        <w:t xml:space="preserve"> Shipbuilding, </w:t>
      </w:r>
      <w:r>
        <w:rPr>
          <w:rFonts w:ascii="Arial" w:hAnsi="Arial" w:cs="Arial"/>
          <w:color w:val="000000" w:themeColor="text1"/>
        </w:rPr>
        <w:t>Outer Hull</w:t>
      </w:r>
      <w:r w:rsidRPr="00C0416A">
        <w:rPr>
          <w:rFonts w:ascii="Arial" w:hAnsi="Arial" w:cs="Arial"/>
          <w:color w:val="000000" w:themeColor="text1"/>
        </w:rPr>
        <w:t>, DMR Steels, GMAW, Industry 5.0, Cobot, Robot,</w:t>
      </w:r>
      <w:r>
        <w:rPr>
          <w:rFonts w:ascii="Arial" w:hAnsi="Arial" w:cs="Arial"/>
          <w:color w:val="000000" w:themeColor="text1"/>
        </w:rPr>
        <w:t xml:space="preserve"> Flextrack, ArcRover,</w:t>
      </w:r>
      <w:r w:rsidRPr="00C0416A">
        <w:rPr>
          <w:rFonts w:ascii="Arial" w:hAnsi="Arial" w:cs="Arial"/>
          <w:color w:val="000000" w:themeColor="text1"/>
        </w:rPr>
        <w:t xml:space="preserve"> Productivity, Quality, Radiographic tes</w:t>
      </w:r>
      <w:r>
        <w:rPr>
          <w:rFonts w:ascii="Arial" w:hAnsi="Arial" w:cs="Arial"/>
          <w:color w:val="000000" w:themeColor="text1"/>
        </w:rPr>
        <w:t>t.</w:t>
      </w:r>
    </w:p>
    <w:sectPr w:rsidR="006C7196" w:rsidRPr="00E172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Shruti">
    <w:panose1 w:val="02000500000000000000"/>
    <w:charset w:val="00"/>
    <w:family w:val="swiss"/>
    <w:pitch w:val="variable"/>
    <w:sig w:usb0="0004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Latha">
    <w:panose1 w:val="02000400000000000000"/>
    <w:charset w:val="00"/>
    <w:family w:val="swiss"/>
    <w:pitch w:val="variable"/>
    <w:sig w:usb0="001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1215D"/>
    <w:multiLevelType w:val="multilevel"/>
    <w:tmpl w:val="43A21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8A779F"/>
    <w:multiLevelType w:val="multilevel"/>
    <w:tmpl w:val="DF36D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8DF"/>
    <w:rsid w:val="00283637"/>
    <w:rsid w:val="002F6648"/>
    <w:rsid w:val="004A68DF"/>
    <w:rsid w:val="004E7E51"/>
    <w:rsid w:val="004F7567"/>
    <w:rsid w:val="00663A9B"/>
    <w:rsid w:val="006C7196"/>
    <w:rsid w:val="008D5A1D"/>
    <w:rsid w:val="009F3B3F"/>
    <w:rsid w:val="00A53F41"/>
    <w:rsid w:val="00E17283"/>
    <w:rsid w:val="00E26D77"/>
    <w:rsid w:val="00EF3F67"/>
    <w:rsid w:val="00F8584F"/>
  </w:rsids>
  <m:mathPr>
    <m:mathFont m:val="Cambria Math"/>
    <m:brkBin m:val="before"/>
    <m:brkBinSub m:val="--"/>
    <m:smallFrac m:val="0"/>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C9BFE"/>
  <w15:chartTrackingRefBased/>
  <w15:docId w15:val="{5002920A-C318-4FF9-9833-E43403C4C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gu-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8DF"/>
    <w:rPr>
      <w:kern w:val="0"/>
      <w:lang w:val="en-IN" w:bidi="ar-SA"/>
      <w14:ligatures w14:val="none"/>
    </w:rPr>
  </w:style>
  <w:style w:type="paragraph" w:styleId="Heading1">
    <w:name w:val="heading 1"/>
    <w:basedOn w:val="Normal"/>
    <w:next w:val="Normal"/>
    <w:link w:val="Heading1Char"/>
    <w:uiPriority w:val="9"/>
    <w:qFormat/>
    <w:rsid w:val="004A68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68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68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68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68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68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68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68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68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68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68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68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68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68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68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68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68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68DF"/>
    <w:rPr>
      <w:rFonts w:eastAsiaTheme="majorEastAsia" w:cstheme="majorBidi"/>
      <w:color w:val="272727" w:themeColor="text1" w:themeTint="D8"/>
    </w:rPr>
  </w:style>
  <w:style w:type="paragraph" w:styleId="Title">
    <w:name w:val="Title"/>
    <w:basedOn w:val="Normal"/>
    <w:next w:val="Normal"/>
    <w:link w:val="TitleChar"/>
    <w:uiPriority w:val="10"/>
    <w:qFormat/>
    <w:rsid w:val="004A68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68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68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68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68DF"/>
    <w:pPr>
      <w:spacing w:before="160"/>
      <w:jc w:val="center"/>
    </w:pPr>
    <w:rPr>
      <w:i/>
      <w:iCs/>
      <w:color w:val="404040" w:themeColor="text1" w:themeTint="BF"/>
    </w:rPr>
  </w:style>
  <w:style w:type="character" w:customStyle="1" w:styleId="QuoteChar">
    <w:name w:val="Quote Char"/>
    <w:basedOn w:val="DefaultParagraphFont"/>
    <w:link w:val="Quote"/>
    <w:uiPriority w:val="29"/>
    <w:rsid w:val="004A68DF"/>
    <w:rPr>
      <w:rFonts w:cs="Latha"/>
      <w:i/>
      <w:iCs/>
      <w:color w:val="404040" w:themeColor="text1" w:themeTint="BF"/>
    </w:rPr>
  </w:style>
  <w:style w:type="paragraph" w:styleId="ListParagraph">
    <w:name w:val="List Paragraph"/>
    <w:basedOn w:val="Normal"/>
    <w:uiPriority w:val="34"/>
    <w:qFormat/>
    <w:rsid w:val="004A68DF"/>
    <w:pPr>
      <w:ind w:left="720"/>
      <w:contextualSpacing/>
    </w:pPr>
  </w:style>
  <w:style w:type="character" w:styleId="IntenseEmphasis">
    <w:name w:val="Intense Emphasis"/>
    <w:basedOn w:val="DefaultParagraphFont"/>
    <w:uiPriority w:val="21"/>
    <w:qFormat/>
    <w:rsid w:val="004A68DF"/>
    <w:rPr>
      <w:i/>
      <w:iCs/>
      <w:color w:val="0F4761" w:themeColor="accent1" w:themeShade="BF"/>
    </w:rPr>
  </w:style>
  <w:style w:type="paragraph" w:styleId="IntenseQuote">
    <w:name w:val="Intense Quote"/>
    <w:basedOn w:val="Normal"/>
    <w:next w:val="Normal"/>
    <w:link w:val="IntenseQuoteChar"/>
    <w:uiPriority w:val="30"/>
    <w:qFormat/>
    <w:rsid w:val="004A68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68DF"/>
    <w:rPr>
      <w:rFonts w:cs="Latha"/>
      <w:i/>
      <w:iCs/>
      <w:color w:val="0F4761" w:themeColor="accent1" w:themeShade="BF"/>
    </w:rPr>
  </w:style>
  <w:style w:type="character" w:styleId="IntenseReference">
    <w:name w:val="Intense Reference"/>
    <w:basedOn w:val="DefaultParagraphFont"/>
    <w:uiPriority w:val="32"/>
    <w:qFormat/>
    <w:rsid w:val="004A68DF"/>
    <w:rPr>
      <w:b/>
      <w:bCs/>
      <w:smallCaps/>
      <w:color w:val="0F4761" w:themeColor="accent1" w:themeShade="BF"/>
      <w:spacing w:val="5"/>
    </w:rPr>
  </w:style>
  <w:style w:type="character" w:styleId="Hyperlink">
    <w:name w:val="Hyperlink"/>
    <w:basedOn w:val="DefaultParagraphFont"/>
    <w:uiPriority w:val="99"/>
    <w:unhideWhenUsed/>
    <w:rsid w:val="00F8584F"/>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416</Words>
  <Characters>2374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parth</dc:creator>
  <cp:keywords/>
  <dc:description/>
  <cp:lastModifiedBy>PARTH SAPARIYA</cp:lastModifiedBy>
  <cp:revision>2</cp:revision>
  <dcterms:created xsi:type="dcterms:W3CDTF">2025-11-24T10:08:00Z</dcterms:created>
  <dcterms:modified xsi:type="dcterms:W3CDTF">2025-11-24T10:08:00Z</dcterms:modified>
</cp:coreProperties>
</file>